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97D" w:rsidRPr="00AF397D" w:rsidRDefault="00AF397D" w:rsidP="00AF397D">
      <w:pPr>
        <w:pStyle w:val="NormalWeb"/>
        <w:shd w:val="clear" w:color="auto" w:fill="FFFFFF"/>
        <w:jc w:val="center"/>
        <w:rPr>
          <w:rFonts w:ascii="Arial" w:hAnsi="Arial" w:cs="Arial"/>
          <w:color w:val="000000"/>
        </w:rPr>
      </w:pPr>
      <w:r w:rsidRPr="00AF397D">
        <w:rPr>
          <w:rStyle w:val="Textoennegrita"/>
          <w:rFonts w:ascii="Arial" w:hAnsi="Arial" w:cs="Arial"/>
          <w:color w:val="000000"/>
        </w:rPr>
        <w:t>LEY 1101 DE 2006</w:t>
      </w:r>
    </w:p>
    <w:p w:rsidR="00AF397D" w:rsidRPr="00AF397D" w:rsidRDefault="00AF397D" w:rsidP="00AF397D">
      <w:pPr>
        <w:pStyle w:val="NormalWeb"/>
        <w:jc w:val="center"/>
        <w:rPr>
          <w:rFonts w:ascii="Arial" w:hAnsi="Arial" w:cs="Arial"/>
          <w:color w:val="000000"/>
          <w:shd w:val="clear" w:color="auto" w:fill="FFFFFF"/>
        </w:rPr>
      </w:pPr>
      <w:r w:rsidRPr="00AF397D">
        <w:rPr>
          <w:rStyle w:val="Textoennegrita"/>
          <w:rFonts w:ascii="Arial" w:hAnsi="Arial" w:cs="Arial"/>
          <w:color w:val="000000"/>
          <w:shd w:val="clear" w:color="auto" w:fill="FFFFFF"/>
        </w:rPr>
        <w:t>(Noviembre 22)</w:t>
      </w:r>
    </w:p>
    <w:p w:rsidR="00AF397D" w:rsidRPr="00AF397D" w:rsidRDefault="00AF397D" w:rsidP="00AF397D">
      <w:pPr>
        <w:pStyle w:val="NormalWeb"/>
        <w:jc w:val="center"/>
        <w:rPr>
          <w:rFonts w:ascii="Arial" w:hAnsi="Arial" w:cs="Arial"/>
          <w:color w:val="000000"/>
          <w:shd w:val="clear" w:color="auto" w:fill="FFFFFF"/>
        </w:rPr>
      </w:pPr>
      <w:r w:rsidRPr="00AF397D">
        <w:rPr>
          <w:rStyle w:val="Textoennegrita"/>
          <w:rFonts w:ascii="Arial" w:hAnsi="Arial" w:cs="Arial"/>
          <w:color w:val="000000"/>
          <w:shd w:val="clear" w:color="auto" w:fill="FFFFFF"/>
        </w:rPr>
        <w:t> </w:t>
      </w:r>
      <w:hyperlink r:id="rId4" w:anchor="0" w:history="1">
        <w:r w:rsidRPr="00AF397D">
          <w:rPr>
            <w:rStyle w:val="Hipervnculo"/>
            <w:rFonts w:ascii="Arial" w:hAnsi="Arial" w:cs="Arial"/>
            <w:shd w:val="clear" w:color="auto" w:fill="FFFFFF"/>
          </w:rPr>
          <w:t>Reglamentada por el Decreto Nacional 2590 de 2009</w:t>
        </w:r>
      </w:hyperlink>
    </w:p>
    <w:p w:rsidR="00AF397D" w:rsidRPr="00AF397D" w:rsidRDefault="00AF397D" w:rsidP="00AF397D">
      <w:pPr>
        <w:pStyle w:val="NormalWeb"/>
        <w:jc w:val="center"/>
        <w:rPr>
          <w:rFonts w:ascii="Arial" w:hAnsi="Arial" w:cs="Arial"/>
          <w:color w:val="000000"/>
          <w:shd w:val="clear" w:color="auto" w:fill="FFFFFF"/>
        </w:rPr>
      </w:pPr>
      <w:r w:rsidRPr="00AF397D">
        <w:rPr>
          <w:rStyle w:val="Textoennegrita"/>
          <w:rFonts w:ascii="Arial" w:hAnsi="Arial" w:cs="Arial"/>
          <w:color w:val="000000"/>
          <w:shd w:val="clear" w:color="auto" w:fill="FFFFFF"/>
        </w:rPr>
        <w:t>Por la cual se modifica la Ley</w:t>
      </w:r>
      <w:r w:rsidRPr="00AF397D">
        <w:rPr>
          <w:rStyle w:val="apple-converted-space"/>
          <w:rFonts w:ascii="Arial" w:hAnsi="Arial" w:cs="Arial"/>
          <w:b/>
          <w:bCs/>
          <w:color w:val="000000"/>
          <w:shd w:val="clear" w:color="auto" w:fill="FFFFFF"/>
        </w:rPr>
        <w:t> </w:t>
      </w:r>
      <w:hyperlink r:id="rId5" w:anchor="0" w:history="1">
        <w:r w:rsidRPr="00AF397D">
          <w:rPr>
            <w:rStyle w:val="Textoennegrita"/>
            <w:rFonts w:ascii="Arial" w:hAnsi="Arial" w:cs="Arial"/>
            <w:color w:val="0000FF"/>
            <w:u w:val="single"/>
            <w:shd w:val="clear" w:color="auto" w:fill="FFFFFF"/>
          </w:rPr>
          <w:t>300</w:t>
        </w:r>
      </w:hyperlink>
      <w:r w:rsidRPr="00AF397D">
        <w:rPr>
          <w:rStyle w:val="apple-converted-space"/>
          <w:rFonts w:ascii="Arial" w:hAnsi="Arial" w:cs="Arial"/>
          <w:b/>
          <w:bCs/>
          <w:color w:val="000000"/>
          <w:shd w:val="clear" w:color="auto" w:fill="FFFFFF"/>
        </w:rPr>
        <w:t> </w:t>
      </w:r>
      <w:r w:rsidRPr="00AF397D">
        <w:rPr>
          <w:rStyle w:val="Textoennegrita"/>
          <w:rFonts w:ascii="Arial" w:hAnsi="Arial" w:cs="Arial"/>
          <w:color w:val="000000"/>
          <w:shd w:val="clear" w:color="auto" w:fill="FFFFFF"/>
        </w:rPr>
        <w:t>de 1996 - Ley General de Turismo y se dictan otras disposiciones.</w:t>
      </w:r>
    </w:p>
    <w:p w:rsidR="00AF397D" w:rsidRPr="00AF397D" w:rsidRDefault="00AF397D" w:rsidP="00AF397D">
      <w:pPr>
        <w:pStyle w:val="NormalWeb"/>
        <w:jc w:val="center"/>
        <w:rPr>
          <w:rFonts w:ascii="Arial" w:hAnsi="Arial" w:cs="Arial"/>
          <w:color w:val="000000"/>
          <w:shd w:val="clear" w:color="auto" w:fill="FFFFFF"/>
        </w:rPr>
      </w:pPr>
      <w:r w:rsidRPr="00AF397D">
        <w:rPr>
          <w:rStyle w:val="Textoennegrita"/>
          <w:rFonts w:ascii="Arial" w:hAnsi="Arial" w:cs="Arial"/>
          <w:color w:val="000000"/>
          <w:shd w:val="clear" w:color="auto" w:fill="FFFFFF"/>
        </w:rPr>
        <w:t>El Congreso de Colombia</w:t>
      </w:r>
    </w:p>
    <w:p w:rsidR="00AF397D" w:rsidRPr="00AF397D" w:rsidRDefault="00AF397D" w:rsidP="00AF397D">
      <w:pPr>
        <w:pStyle w:val="NormalWeb"/>
        <w:jc w:val="center"/>
        <w:rPr>
          <w:rFonts w:ascii="Arial" w:hAnsi="Arial" w:cs="Arial"/>
          <w:color w:val="000000"/>
          <w:shd w:val="clear" w:color="auto" w:fill="FFFFFF"/>
        </w:rPr>
      </w:pPr>
      <w:r w:rsidRPr="00AF397D">
        <w:rPr>
          <w:rStyle w:val="Textoennegrita"/>
          <w:rFonts w:ascii="Arial" w:hAnsi="Arial" w:cs="Arial"/>
          <w:color w:val="000000"/>
          <w:shd w:val="clear" w:color="auto" w:fill="FFFFFF"/>
        </w:rPr>
        <w:t>DECRETA:</w:t>
      </w:r>
    </w:p>
    <w:p w:rsidR="00AF397D" w:rsidRPr="00AF397D" w:rsidRDefault="00AF397D" w:rsidP="00AF397D">
      <w:pPr>
        <w:pStyle w:val="NormalWeb"/>
        <w:rPr>
          <w:rFonts w:ascii="Arial" w:hAnsi="Arial" w:cs="Arial"/>
          <w:color w:val="000000"/>
          <w:shd w:val="clear" w:color="auto" w:fill="FFFFFF"/>
        </w:rPr>
      </w:pPr>
      <w:r w:rsidRPr="00AF397D">
        <w:rPr>
          <w:rStyle w:val="Textoennegrita"/>
          <w:rFonts w:ascii="Arial" w:hAnsi="Arial" w:cs="Arial"/>
          <w:color w:val="000000"/>
          <w:shd w:val="clear" w:color="auto" w:fill="FFFFFF"/>
        </w:rPr>
        <w:t>Artículo </w:t>
      </w:r>
      <w:bookmarkStart w:id="0" w:name="1"/>
      <w:r w:rsidRPr="00AF397D">
        <w:rPr>
          <w:rStyle w:val="Textoennegrita"/>
          <w:rFonts w:ascii="Arial" w:hAnsi="Arial" w:cs="Arial"/>
          <w:color w:val="000000"/>
          <w:shd w:val="clear" w:color="auto" w:fill="FFFFFF"/>
        </w:rPr>
        <w:t> </w:t>
      </w:r>
      <w:bookmarkEnd w:id="0"/>
      <w:r w:rsidRPr="00AF397D">
        <w:rPr>
          <w:rStyle w:val="Textoennegrita"/>
          <w:rFonts w:ascii="Arial" w:hAnsi="Arial" w:cs="Arial"/>
          <w:color w:val="000000"/>
          <w:shd w:val="clear" w:color="auto" w:fill="FFFFFF"/>
        </w:rPr>
        <w:t>1°. </w:t>
      </w:r>
      <w:r w:rsidRPr="00AF397D">
        <w:rPr>
          <w:rFonts w:ascii="Arial" w:hAnsi="Arial" w:cs="Arial"/>
          <w:color w:val="000000"/>
          <w:shd w:val="clear" w:color="auto" w:fill="FFFFFF"/>
        </w:rPr>
        <w:t> </w:t>
      </w:r>
      <w:hyperlink r:id="rId6" w:anchor="0" w:history="1">
        <w:r w:rsidRPr="00AF397D">
          <w:rPr>
            <w:rStyle w:val="Hipervnculo"/>
            <w:rFonts w:ascii="Arial" w:hAnsi="Arial" w:cs="Arial"/>
            <w:shd w:val="clear" w:color="auto" w:fill="FFFFFF"/>
          </w:rPr>
          <w:t>Reglamentado por el Decreto Nacional 1036 de 2007</w:t>
        </w:r>
      </w:hyperlink>
      <w:r w:rsidRPr="00AF397D">
        <w:rPr>
          <w:rFonts w:ascii="Arial" w:hAnsi="Arial" w:cs="Arial"/>
          <w:color w:val="000000"/>
          <w:shd w:val="clear" w:color="auto" w:fill="FFFFFF"/>
        </w:rPr>
        <w:t>. El artículo</w:t>
      </w:r>
      <w:r w:rsidRPr="00AF397D">
        <w:rPr>
          <w:rStyle w:val="apple-converted-space"/>
          <w:rFonts w:ascii="Arial" w:hAnsi="Arial" w:cs="Arial"/>
          <w:color w:val="000000"/>
          <w:shd w:val="clear" w:color="auto" w:fill="FFFFFF"/>
        </w:rPr>
        <w:t> </w:t>
      </w:r>
      <w:hyperlink r:id="rId7" w:anchor="40" w:history="1">
        <w:r w:rsidRPr="00AF397D">
          <w:rPr>
            <w:rStyle w:val="Hipervnculo"/>
            <w:rFonts w:ascii="Arial" w:hAnsi="Arial" w:cs="Arial"/>
            <w:shd w:val="clear" w:color="auto" w:fill="FFFFFF"/>
          </w:rPr>
          <w:t>40</w:t>
        </w:r>
      </w:hyperlink>
      <w:r w:rsidRPr="00AF397D">
        <w:rPr>
          <w:rStyle w:val="apple-converted-space"/>
          <w:rFonts w:ascii="Arial" w:hAnsi="Arial" w:cs="Arial"/>
          <w:color w:val="000000"/>
          <w:shd w:val="clear" w:color="auto" w:fill="FFFFFF"/>
        </w:rPr>
        <w:t> </w:t>
      </w:r>
      <w:r w:rsidRPr="00AF397D">
        <w:rPr>
          <w:rFonts w:ascii="Arial" w:hAnsi="Arial" w:cs="Arial"/>
          <w:color w:val="000000"/>
          <w:shd w:val="clear" w:color="auto" w:fill="FFFFFF"/>
        </w:rPr>
        <w:t>de la Ley 300 de 1996, quedará así:</w:t>
      </w:r>
      <w:r w:rsidRPr="00AF397D">
        <w:rPr>
          <w:rStyle w:val="apple-converted-space"/>
          <w:rFonts w:ascii="Arial" w:hAnsi="Arial" w:cs="Arial"/>
          <w:color w:val="000000"/>
          <w:shd w:val="clear" w:color="auto" w:fill="FFFFFF"/>
        </w:rPr>
        <w:t> </w:t>
      </w:r>
      <w:r w:rsidRPr="00AF397D">
        <w:rPr>
          <w:rFonts w:ascii="Arial" w:hAnsi="Arial" w:cs="Arial"/>
          <w:i/>
          <w:iCs/>
          <w:color w:val="000000"/>
          <w:shd w:val="clear" w:color="auto" w:fill="FFFFFF"/>
        </w:rPr>
        <w:t>De la contribución parafiscal para la promoción del turismo</w:t>
      </w:r>
      <w:r w:rsidRPr="00AF397D">
        <w:rPr>
          <w:rFonts w:ascii="Arial" w:hAnsi="Arial" w:cs="Arial"/>
          <w:color w:val="000000"/>
          <w:shd w:val="clear" w:color="auto" w:fill="FFFFFF"/>
        </w:rPr>
        <w:t xml:space="preserve">. Créase una contribución parafiscal con destino a la promoción y competitividad del turismo. La contribución estará a cargo de los </w:t>
      </w:r>
      <w:proofErr w:type="spellStart"/>
      <w:r w:rsidRPr="00AF397D">
        <w:rPr>
          <w:rFonts w:ascii="Arial" w:hAnsi="Arial" w:cs="Arial"/>
          <w:color w:val="000000"/>
          <w:shd w:val="clear" w:color="auto" w:fill="FFFFFF"/>
        </w:rPr>
        <w:t>aportantes</w:t>
      </w:r>
      <w:proofErr w:type="spellEnd"/>
      <w:r w:rsidRPr="00AF397D">
        <w:rPr>
          <w:rFonts w:ascii="Arial" w:hAnsi="Arial" w:cs="Arial"/>
          <w:color w:val="000000"/>
          <w:shd w:val="clear" w:color="auto" w:fill="FFFFFF"/>
        </w:rPr>
        <w:t xml:space="preserve"> previstos en el artículo 3° de la presente ley. Contribución que en ningún caso será trasladada al usuario.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w:t>
      </w:r>
      <w:bookmarkStart w:id="1" w:name="2"/>
      <w:r w:rsidRPr="00AF397D">
        <w:rPr>
          <w:rFonts w:ascii="Arial" w:hAnsi="Arial" w:cs="Arial"/>
          <w:b/>
          <w:bCs/>
          <w:color w:val="000000"/>
          <w:shd w:val="clear" w:color="auto" w:fill="FFFFFF"/>
        </w:rPr>
        <w:t> </w:t>
      </w:r>
      <w:bookmarkEnd w:id="1"/>
      <w:r w:rsidRPr="00AF397D">
        <w:rPr>
          <w:rFonts w:ascii="Arial" w:hAnsi="Arial" w:cs="Arial"/>
          <w:b/>
          <w:bCs/>
          <w:color w:val="000000"/>
          <w:shd w:val="clear" w:color="auto" w:fill="FFFFFF"/>
        </w:rPr>
        <w:t>2°. </w:t>
      </w:r>
      <w:r w:rsidRPr="00AF397D">
        <w:rPr>
          <w:rFonts w:ascii="Arial" w:hAnsi="Arial" w:cs="Arial"/>
          <w:color w:val="000000"/>
          <w:shd w:val="clear" w:color="auto" w:fill="FFFFFF"/>
        </w:rPr>
        <w:t> </w:t>
      </w:r>
      <w:hyperlink r:id="rId8" w:anchor="0" w:history="1">
        <w:r w:rsidRPr="00AF397D">
          <w:rPr>
            <w:rStyle w:val="Hipervnculo"/>
            <w:rFonts w:ascii="Arial" w:hAnsi="Arial" w:cs="Arial"/>
            <w:shd w:val="clear" w:color="auto" w:fill="FFFFFF"/>
          </w:rPr>
          <w:t>Reglamentado por el Decreto Nacional 1036 de 2007</w:t>
        </w:r>
      </w:hyperlink>
      <w:r w:rsidRPr="00AF397D">
        <w:rPr>
          <w:rFonts w:ascii="Arial" w:hAnsi="Arial" w:cs="Arial"/>
          <w:color w:val="000000"/>
          <w:shd w:val="clear" w:color="auto" w:fill="FFFFFF"/>
        </w:rPr>
        <w:t>. El artículo</w:t>
      </w:r>
      <w:r w:rsidRPr="00AF397D">
        <w:rPr>
          <w:rStyle w:val="apple-converted-space"/>
          <w:rFonts w:ascii="Arial" w:hAnsi="Arial" w:cs="Arial"/>
          <w:color w:val="000000"/>
          <w:shd w:val="clear" w:color="auto" w:fill="FFFFFF"/>
        </w:rPr>
        <w:t> </w:t>
      </w:r>
      <w:hyperlink r:id="rId9" w:anchor="41" w:history="1">
        <w:r w:rsidRPr="00AF397D">
          <w:rPr>
            <w:rStyle w:val="Hipervnculo"/>
            <w:rFonts w:ascii="Arial" w:hAnsi="Arial" w:cs="Arial"/>
            <w:shd w:val="clear" w:color="auto" w:fill="FFFFFF"/>
          </w:rPr>
          <w:t>41</w:t>
        </w:r>
      </w:hyperlink>
      <w:r w:rsidRPr="00AF397D">
        <w:rPr>
          <w:rStyle w:val="apple-converted-space"/>
          <w:rFonts w:ascii="Arial" w:hAnsi="Arial" w:cs="Arial"/>
          <w:color w:val="000000"/>
          <w:shd w:val="clear" w:color="auto" w:fill="FFFFFF"/>
        </w:rPr>
        <w:t> </w:t>
      </w:r>
      <w:r w:rsidRPr="00AF397D">
        <w:rPr>
          <w:rFonts w:ascii="Arial" w:hAnsi="Arial" w:cs="Arial"/>
          <w:color w:val="000000"/>
          <w:shd w:val="clear" w:color="auto" w:fill="FFFFFF"/>
        </w:rPr>
        <w:t>de la ley 300 de 1996, quedará así:</w:t>
      </w:r>
      <w:r w:rsidRPr="00AF397D">
        <w:rPr>
          <w:rStyle w:val="apple-converted-space"/>
          <w:rFonts w:ascii="Arial" w:hAnsi="Arial" w:cs="Arial"/>
          <w:color w:val="000000"/>
          <w:shd w:val="clear" w:color="auto" w:fill="FFFFFF"/>
        </w:rPr>
        <w:t> </w:t>
      </w:r>
      <w:r w:rsidRPr="00AF397D">
        <w:rPr>
          <w:rFonts w:ascii="Arial" w:hAnsi="Arial" w:cs="Arial"/>
          <w:i/>
          <w:iCs/>
          <w:color w:val="000000"/>
          <w:shd w:val="clear" w:color="auto" w:fill="FFFFFF"/>
        </w:rPr>
        <w:t>Base de liquidación de la contribución</w:t>
      </w:r>
      <w:r w:rsidRPr="00AF397D">
        <w:rPr>
          <w:rFonts w:ascii="Arial" w:hAnsi="Arial" w:cs="Arial"/>
          <w:color w:val="000000"/>
          <w:shd w:val="clear" w:color="auto" w:fill="FFFFFF"/>
        </w:rPr>
        <w:t xml:space="preserve">. La contribución parafiscal se liquidará trimestralmente por un valor correspondiente al 2.5 por mil de los ingresos operacionales, vinculados a la actividad sometida al gravamen, de los </w:t>
      </w:r>
      <w:proofErr w:type="spellStart"/>
      <w:r w:rsidRPr="00AF397D">
        <w:rPr>
          <w:rFonts w:ascii="Arial" w:hAnsi="Arial" w:cs="Arial"/>
          <w:color w:val="000000"/>
          <w:shd w:val="clear" w:color="auto" w:fill="FFFFFF"/>
        </w:rPr>
        <w:t>aportantes</w:t>
      </w:r>
      <w:proofErr w:type="spellEnd"/>
      <w:r w:rsidRPr="00AF397D">
        <w:rPr>
          <w:rFonts w:ascii="Arial" w:hAnsi="Arial" w:cs="Arial"/>
          <w:color w:val="000000"/>
          <w:shd w:val="clear" w:color="auto" w:fill="FFFFFF"/>
        </w:rPr>
        <w:t xml:space="preserve"> señalados en el artículo 3° de esta ley.</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La entidad recaudadora podrá obtener el pago de la contribución mediante cobro coactivo cuando fuere necesario. Para tal efecto, tendrá facultad de jurisdicción coactiva.</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1</w:t>
      </w:r>
      <w:r w:rsidRPr="00AF397D">
        <w:rPr>
          <w:rFonts w:ascii="Arial" w:hAnsi="Arial" w:cs="Arial"/>
          <w:color w:val="000000"/>
          <w:shd w:val="clear" w:color="auto" w:fill="FFFFFF"/>
        </w:rPr>
        <w:t>°. Para los prestadores de servicios turísticos cuya remuneración principal consiste en una comisión o porcentaje de las ventas, se entenderá por ingresos operacionales el valor de las comisiones percibidas; en el caso de las agencias operadoras de turismo receptivo y mayoristas, se entenderá por ingresos operacionales el que quede una vez deducidos los pagos a los proveedores turísticos.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2</w:t>
      </w:r>
      <w:r w:rsidRPr="00AF397D">
        <w:rPr>
          <w:rFonts w:ascii="Arial" w:hAnsi="Arial" w:cs="Arial"/>
          <w:color w:val="000000"/>
          <w:shd w:val="clear" w:color="auto" w:fill="FFFFFF"/>
        </w:rPr>
        <w:t>°.  </w:t>
      </w:r>
      <w:hyperlink r:id="rId10" w:anchor="0" w:history="1">
        <w:r w:rsidRPr="00AF397D">
          <w:rPr>
            <w:rStyle w:val="Hipervnculo"/>
            <w:rFonts w:ascii="Arial" w:hAnsi="Arial" w:cs="Arial"/>
            <w:shd w:val="clear" w:color="auto" w:fill="FFFFFF"/>
          </w:rPr>
          <w:t xml:space="preserve">Reglamentado por Resolución de la </w:t>
        </w:r>
        <w:proofErr w:type="spellStart"/>
        <w:r w:rsidRPr="00AF397D">
          <w:rPr>
            <w:rStyle w:val="Hipervnculo"/>
            <w:rFonts w:ascii="Arial" w:hAnsi="Arial" w:cs="Arial"/>
            <w:shd w:val="clear" w:color="auto" w:fill="FFFFFF"/>
          </w:rPr>
          <w:t>Aerocivil</w:t>
        </w:r>
        <w:proofErr w:type="spellEnd"/>
        <w:r w:rsidRPr="00AF397D">
          <w:rPr>
            <w:rStyle w:val="Hipervnculo"/>
            <w:rFonts w:ascii="Arial" w:hAnsi="Arial" w:cs="Arial"/>
            <w:shd w:val="clear" w:color="auto" w:fill="FFFFFF"/>
          </w:rPr>
          <w:t>, 036 de 2007</w:t>
        </w:r>
      </w:hyperlink>
      <w:r w:rsidRPr="00AF397D">
        <w:rPr>
          <w:rFonts w:ascii="Arial" w:hAnsi="Arial" w:cs="Arial"/>
          <w:color w:val="000000"/>
          <w:shd w:val="clear" w:color="auto" w:fill="FFFFFF"/>
        </w:rPr>
        <w:t>. Tratándose del transporte aéreo regular de pasajeros, como un régimen de excepción, la liquidación de la contribución de que trata este artículo se hará con base en los pasajeros transportados en vuelos internacionales cuyo origen o destino final sea Colombia. Para tal efecto, el aporte por pasajero será la suma de US$1 dólar de los Estados Unidos o su equivalente en pesos colombianos que no hará parte de la tarifa autorizada.</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lastRenderedPageBreak/>
        <w:t>La Aeronáutica Civil presentará la relación de los pasajeros transportados en vuelos internacionales por cada aerolínea y reglamentará este cobro.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3</w:t>
      </w:r>
      <w:r w:rsidRPr="00AF397D">
        <w:rPr>
          <w:rFonts w:ascii="Arial" w:hAnsi="Arial" w:cs="Arial"/>
          <w:color w:val="000000"/>
          <w:shd w:val="clear" w:color="auto" w:fill="FFFFFF"/>
        </w:rPr>
        <w:t>°. En el caso de los bares y restaurantes turísticos a que se refiere el presente artículo, la contribución será del 1.5 por mil de los ingresos operacionales.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4</w:t>
      </w:r>
      <w:r w:rsidRPr="00AF397D">
        <w:rPr>
          <w:rFonts w:ascii="Arial" w:hAnsi="Arial" w:cs="Arial"/>
          <w:color w:val="000000"/>
          <w:shd w:val="clear" w:color="auto" w:fill="FFFFFF"/>
        </w:rPr>
        <w:t>°. La contribución parafiscal no será sujeta a gravámenes adicionales.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w:t>
      </w:r>
      <w:bookmarkStart w:id="2" w:name="3"/>
      <w:r w:rsidRPr="00AF397D">
        <w:rPr>
          <w:rFonts w:ascii="Arial" w:hAnsi="Arial" w:cs="Arial"/>
          <w:b/>
          <w:bCs/>
          <w:color w:val="000000"/>
          <w:shd w:val="clear" w:color="auto" w:fill="FFFFFF"/>
        </w:rPr>
        <w:t> </w:t>
      </w:r>
      <w:bookmarkEnd w:id="2"/>
      <w:r w:rsidRPr="00AF397D">
        <w:rPr>
          <w:rFonts w:ascii="Arial" w:hAnsi="Arial" w:cs="Arial"/>
          <w:b/>
          <w:bCs/>
          <w:color w:val="000000"/>
          <w:shd w:val="clear" w:color="auto" w:fill="FFFFFF"/>
        </w:rPr>
        <w:t>3.</w:t>
      </w:r>
      <w:r w:rsidRPr="00AF397D">
        <w:rPr>
          <w:rStyle w:val="apple-converted-space"/>
          <w:rFonts w:ascii="Arial" w:hAnsi="Arial" w:cs="Arial"/>
          <w:b/>
          <w:bCs/>
          <w:color w:val="000000"/>
          <w:shd w:val="clear" w:color="auto" w:fill="FFFFFF"/>
        </w:rPr>
        <w:t> </w:t>
      </w:r>
      <w:proofErr w:type="spellStart"/>
      <w:r w:rsidRPr="00AF397D">
        <w:rPr>
          <w:rFonts w:ascii="Arial" w:hAnsi="Arial" w:cs="Arial"/>
          <w:i/>
          <w:iCs/>
          <w:color w:val="000000"/>
          <w:shd w:val="clear" w:color="auto" w:fill="FFFFFF"/>
        </w:rPr>
        <w:t>Aportantes</w:t>
      </w:r>
      <w:proofErr w:type="spellEnd"/>
      <w:r w:rsidRPr="00AF397D">
        <w:rPr>
          <w:rFonts w:ascii="Arial" w:hAnsi="Arial" w:cs="Arial"/>
          <w:i/>
          <w:iCs/>
          <w:color w:val="000000"/>
          <w:shd w:val="clear" w:color="auto" w:fill="FFFFFF"/>
        </w:rPr>
        <w:t xml:space="preserve"> de la contribución parafiscal para la promoción del turismo</w:t>
      </w:r>
      <w:r w:rsidRPr="00AF397D">
        <w:rPr>
          <w:rFonts w:ascii="Arial" w:hAnsi="Arial" w:cs="Arial"/>
          <w:color w:val="000000"/>
          <w:shd w:val="clear" w:color="auto" w:fill="FFFFFF"/>
        </w:rPr>
        <w:t>.  </w:t>
      </w:r>
      <w:hyperlink r:id="rId11" w:anchor="0" w:history="1">
        <w:r w:rsidRPr="00AF397D">
          <w:rPr>
            <w:rStyle w:val="Hipervnculo"/>
            <w:rFonts w:ascii="Arial" w:hAnsi="Arial" w:cs="Arial"/>
            <w:shd w:val="clear" w:color="auto" w:fill="FFFFFF"/>
          </w:rPr>
          <w:t>Reglamentado por el Decreto Nacional 1036 de 2007</w:t>
        </w:r>
      </w:hyperlink>
      <w:r w:rsidRPr="00AF397D">
        <w:rPr>
          <w:rFonts w:ascii="Arial" w:hAnsi="Arial" w:cs="Arial"/>
          <w:color w:val="000000"/>
          <w:shd w:val="clear" w:color="auto" w:fill="FFFFFF"/>
        </w:rPr>
        <w:t>,</w:t>
      </w:r>
      <w:r w:rsidRPr="00AF397D">
        <w:rPr>
          <w:rStyle w:val="apple-converted-space"/>
          <w:rFonts w:ascii="Arial" w:hAnsi="Arial" w:cs="Arial"/>
          <w:color w:val="000000"/>
          <w:shd w:val="clear" w:color="auto" w:fill="FFFFFF"/>
        </w:rPr>
        <w:t> </w:t>
      </w:r>
      <w:hyperlink r:id="rId12" w:anchor="16" w:history="1">
        <w:r w:rsidRPr="00AF397D">
          <w:rPr>
            <w:rStyle w:val="Hipervnculo"/>
            <w:rFonts w:ascii="Arial" w:hAnsi="Arial" w:cs="Arial"/>
            <w:shd w:val="clear" w:color="auto" w:fill="FFFFFF"/>
          </w:rPr>
          <w:t>Modificado por el art. 16, Ley 1558 de 2012</w:t>
        </w:r>
      </w:hyperlink>
      <w:r w:rsidRPr="00AF397D">
        <w:rPr>
          <w:rFonts w:ascii="Arial" w:hAnsi="Arial" w:cs="Arial"/>
          <w:color w:val="000000"/>
          <w:shd w:val="clear" w:color="auto" w:fill="FFFFFF"/>
        </w:rPr>
        <w:t xml:space="preserve">.  Para los fines señalados en el artículo 1° de la presente ley, se consideran </w:t>
      </w:r>
      <w:proofErr w:type="spellStart"/>
      <w:r w:rsidRPr="00AF397D">
        <w:rPr>
          <w:rFonts w:ascii="Arial" w:hAnsi="Arial" w:cs="Arial"/>
          <w:color w:val="000000"/>
          <w:shd w:val="clear" w:color="auto" w:fill="FFFFFF"/>
        </w:rPr>
        <w:t>aportantes</w:t>
      </w:r>
      <w:proofErr w:type="spellEnd"/>
      <w:r w:rsidRPr="00AF397D">
        <w:rPr>
          <w:rFonts w:ascii="Arial" w:hAnsi="Arial" w:cs="Arial"/>
          <w:color w:val="000000"/>
          <w:shd w:val="clear" w:color="auto" w:fill="FFFFFF"/>
        </w:rPr>
        <w:t xml:space="preserve"> los siguientes: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1. Los hoteles y centros vacacionales.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 xml:space="preserve">2. Las viviendas turísticas y otros tipos de hospedaje no permanente, cuyas ventas anuales sean superiores a los 50 </w:t>
      </w:r>
      <w:proofErr w:type="spellStart"/>
      <w:r w:rsidRPr="00AF397D">
        <w:rPr>
          <w:rFonts w:ascii="Arial" w:hAnsi="Arial" w:cs="Arial"/>
          <w:color w:val="000000"/>
          <w:shd w:val="clear" w:color="auto" w:fill="FFFFFF"/>
        </w:rPr>
        <w:t>smlmv</w:t>
      </w:r>
      <w:proofErr w:type="spellEnd"/>
      <w:r w:rsidRPr="00AF397D">
        <w:rPr>
          <w:rFonts w:ascii="Arial" w:hAnsi="Arial" w:cs="Arial"/>
          <w:color w:val="000000"/>
          <w:shd w:val="clear" w:color="auto" w:fill="FFFFFF"/>
        </w:rPr>
        <w:t xml:space="preserve">, excluidos los establecimientos que prestan el servicio de alojamiento </w:t>
      </w:r>
      <w:proofErr w:type="spellStart"/>
      <w:r w:rsidRPr="00AF397D">
        <w:rPr>
          <w:rFonts w:ascii="Arial" w:hAnsi="Arial" w:cs="Arial"/>
          <w:color w:val="000000"/>
          <w:shd w:val="clear" w:color="auto" w:fill="FFFFFF"/>
        </w:rPr>
        <w:t>po</w:t>
      </w:r>
      <w:proofErr w:type="spellEnd"/>
      <w:r w:rsidRPr="00AF397D">
        <w:rPr>
          <w:rFonts w:ascii="Arial" w:hAnsi="Arial" w:cs="Arial"/>
          <w:color w:val="000000"/>
          <w:shd w:val="clear" w:color="auto" w:fill="FFFFFF"/>
        </w:rPr>
        <w:t xml:space="preserve"> r horas. En el caso de las viviendas turísticas ubicadas en los territorios indígenas se aplicará la contribución a aquellas cuyas ventas anuales sean superiores a los 100 </w:t>
      </w:r>
      <w:proofErr w:type="spellStart"/>
      <w:r w:rsidRPr="00AF397D">
        <w:rPr>
          <w:rFonts w:ascii="Arial" w:hAnsi="Arial" w:cs="Arial"/>
          <w:color w:val="000000"/>
          <w:shd w:val="clear" w:color="auto" w:fill="FFFFFF"/>
        </w:rPr>
        <w:t>smlmv</w:t>
      </w:r>
      <w:proofErr w:type="spellEnd"/>
      <w:r w:rsidRPr="00AF397D">
        <w:rPr>
          <w:rFonts w:ascii="Arial" w:hAnsi="Arial" w:cs="Arial"/>
          <w:color w:val="000000"/>
          <w:shd w:val="clear" w:color="auto" w:fill="FFFFFF"/>
        </w:rPr>
        <w:t>.</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3. Las agencias de viajes y turismo, agencias mayoristas y las agencias operadoras.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4. Las oficinas de representaciones turísticas.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 xml:space="preserve">5. Las empresas dedicadas a la operación de actividades tales como canotaje, </w:t>
      </w:r>
      <w:proofErr w:type="spellStart"/>
      <w:r w:rsidRPr="00AF397D">
        <w:rPr>
          <w:rFonts w:ascii="Arial" w:hAnsi="Arial" w:cs="Arial"/>
          <w:color w:val="000000"/>
          <w:shd w:val="clear" w:color="auto" w:fill="FFFFFF"/>
        </w:rPr>
        <w:t>balsaje</w:t>
      </w:r>
      <w:proofErr w:type="spellEnd"/>
      <w:r w:rsidRPr="00AF397D">
        <w:rPr>
          <w:rFonts w:ascii="Arial" w:hAnsi="Arial" w:cs="Arial"/>
          <w:color w:val="000000"/>
          <w:shd w:val="clear" w:color="auto" w:fill="FFFFFF"/>
        </w:rPr>
        <w:t xml:space="preserve">, espeleología, escalada, parapente, </w:t>
      </w:r>
      <w:proofErr w:type="spellStart"/>
      <w:r w:rsidRPr="00AF397D">
        <w:rPr>
          <w:rFonts w:ascii="Arial" w:hAnsi="Arial" w:cs="Arial"/>
          <w:color w:val="000000"/>
          <w:shd w:val="clear" w:color="auto" w:fill="FFFFFF"/>
        </w:rPr>
        <w:t>canopée</w:t>
      </w:r>
      <w:proofErr w:type="spellEnd"/>
      <w:r w:rsidRPr="00AF397D">
        <w:rPr>
          <w:rFonts w:ascii="Arial" w:hAnsi="Arial" w:cs="Arial"/>
          <w:color w:val="000000"/>
          <w:shd w:val="clear" w:color="auto" w:fill="FFFFFF"/>
        </w:rPr>
        <w:t>, buceo, deportes náuticos en general.</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6. Los operadores profesionales de congresos, ferias y convenciones.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7. Los arrendadores de vehículos para turismo nacional e internacional.</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8. Los usuarios operadores, desarrolladores e industriales en zonas francas turísticas.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9. Las empresas comercializadoras de proyectos de tiempo compartido y multipropiedad.</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 xml:space="preserve">10. Los bares y restaurantes turísticos, cuyas ventas anuales sean </w:t>
      </w:r>
      <w:proofErr w:type="spellStart"/>
      <w:r w:rsidRPr="00AF397D">
        <w:rPr>
          <w:rFonts w:ascii="Arial" w:hAnsi="Arial" w:cs="Arial"/>
          <w:color w:val="000000"/>
          <w:shd w:val="clear" w:color="auto" w:fill="FFFFFF"/>
        </w:rPr>
        <w:t>superio</w:t>
      </w:r>
      <w:proofErr w:type="spellEnd"/>
      <w:r w:rsidRPr="00AF397D">
        <w:rPr>
          <w:rFonts w:ascii="Arial" w:hAnsi="Arial" w:cs="Arial"/>
          <w:color w:val="000000"/>
          <w:shd w:val="clear" w:color="auto" w:fill="FFFFFF"/>
        </w:rPr>
        <w:t xml:space="preserve"> res a los 500 salarios mínimos legales mensuales vigentes.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lastRenderedPageBreak/>
        <w:t xml:space="preserve">11. Los centros terapéuticos o balnearios que utilizan con fines terapéuticos aguas, minero-medicinales, tratamientos termales u otros medios físicos naturales cuyas ventas anuales sean superiores a los 500 </w:t>
      </w:r>
      <w:proofErr w:type="spellStart"/>
      <w:r w:rsidRPr="00AF397D">
        <w:rPr>
          <w:rFonts w:ascii="Arial" w:hAnsi="Arial" w:cs="Arial"/>
          <w:color w:val="000000"/>
          <w:shd w:val="clear" w:color="auto" w:fill="FFFFFF"/>
        </w:rPr>
        <w:t>smlmv</w:t>
      </w:r>
      <w:proofErr w:type="spellEnd"/>
      <w:r w:rsidRPr="00AF397D">
        <w:rPr>
          <w:rFonts w:ascii="Arial" w:hAnsi="Arial" w:cs="Arial"/>
          <w:color w:val="000000"/>
          <w:shd w:val="clear" w:color="auto" w:fill="FFFFFF"/>
        </w:rPr>
        <w:t>.</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 xml:space="preserve">12. Las empresas captadoras de ahorro para viajes y de servicios turísticos </w:t>
      </w:r>
      <w:proofErr w:type="spellStart"/>
      <w:r w:rsidRPr="00AF397D">
        <w:rPr>
          <w:rFonts w:ascii="Arial" w:hAnsi="Arial" w:cs="Arial"/>
          <w:color w:val="000000"/>
          <w:shd w:val="clear" w:color="auto" w:fill="FFFFFF"/>
        </w:rPr>
        <w:t>prepagados</w:t>
      </w:r>
      <w:proofErr w:type="spellEnd"/>
      <w:r w:rsidRPr="00AF397D">
        <w:rPr>
          <w:rFonts w:ascii="Arial" w:hAnsi="Arial" w:cs="Arial"/>
          <w:color w:val="000000"/>
          <w:shd w:val="clear" w:color="auto" w:fill="FFFFFF"/>
        </w:rPr>
        <w:t>.</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13. Los parques temáticos.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14. Los concesionarios de aeropuertos y carreteras.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 xml:space="preserve">15. Las empresas de transporte de pasajeros: aéreas cuyas ventas anuales sean superiores a los 500 </w:t>
      </w:r>
      <w:proofErr w:type="spellStart"/>
      <w:r w:rsidRPr="00AF397D">
        <w:rPr>
          <w:rFonts w:ascii="Arial" w:hAnsi="Arial" w:cs="Arial"/>
          <w:color w:val="000000"/>
          <w:shd w:val="clear" w:color="auto" w:fill="FFFFFF"/>
        </w:rPr>
        <w:t>smmlv</w:t>
      </w:r>
      <w:proofErr w:type="spellEnd"/>
      <w:r w:rsidRPr="00AF397D">
        <w:rPr>
          <w:rFonts w:ascii="Arial" w:hAnsi="Arial" w:cs="Arial"/>
          <w:color w:val="000000"/>
          <w:shd w:val="clear" w:color="auto" w:fill="FFFFFF"/>
        </w:rPr>
        <w:t xml:space="preserve"> y terrestres, excepto el transporte urbano y el que opera dentro de áreas metropolitanas o ciudades dormitorio.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16. Las empresas de transporte terrestre automotor especializado, las empresas operadoras de chivas y otros vehículos automotores que presten servicio de transporte turístico.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17. Los concesionarios de servicios turísticos en parques nacionales que presten servicios diferentes a los señalados en este artículo.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18. Los centros de convenciones.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19. Las empresas de seguros de viaje y de asistencia médica en viaje.</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20. Las sociedades portuarias orientadas al turismo o puertos turísticos por concepto de la operación de muelles turísticos.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 xml:space="preserve">21. Los establecimientos del comercio ubicados en las terminales de transporte de pasajeros terrestre, aéreo y marítimo cuyas ventas anuales sean superiores a 100 </w:t>
      </w:r>
      <w:proofErr w:type="spellStart"/>
      <w:r w:rsidRPr="00AF397D">
        <w:rPr>
          <w:rFonts w:ascii="Arial" w:hAnsi="Arial" w:cs="Arial"/>
          <w:color w:val="000000"/>
          <w:shd w:val="clear" w:color="auto" w:fill="FFFFFF"/>
        </w:rPr>
        <w:t>smlmv</w:t>
      </w:r>
      <w:proofErr w:type="spellEnd"/>
      <w:r w:rsidRPr="00AF397D">
        <w:rPr>
          <w:rFonts w:ascii="Arial" w:hAnsi="Arial" w:cs="Arial"/>
          <w:color w:val="000000"/>
          <w:shd w:val="clear" w:color="auto" w:fill="FFFFFF"/>
        </w:rPr>
        <w:t>.</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1</w:t>
      </w:r>
      <w:r w:rsidRPr="00AF397D">
        <w:rPr>
          <w:rFonts w:ascii="Arial" w:hAnsi="Arial" w:cs="Arial"/>
          <w:color w:val="000000"/>
          <w:shd w:val="clear" w:color="auto" w:fill="FFFFFF"/>
        </w:rPr>
        <w:t>°. Para efectos de la liquidación del valor de la contribución parafiscal de que trata el artículo 2°, se excluirán de las ventas de los hoteles el valor de las ventas realizadas por las empresas de tiempo compartido.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2</w:t>
      </w:r>
      <w:r w:rsidRPr="00AF397D">
        <w:rPr>
          <w:rFonts w:ascii="Arial" w:hAnsi="Arial" w:cs="Arial"/>
          <w:color w:val="000000"/>
          <w:shd w:val="clear" w:color="auto" w:fill="FFFFFF"/>
        </w:rPr>
        <w:t>°. Para los efectos tributarios o fiscales de la presente ley, se considera que prestan los servicios de vivienda turística las personas naturales o jurídicas cuya actividad sea la de arrendar o subarrendar por periodos inferiores a 30 días con o sin servicios complementarios, bienes raíces de su propiedad o de terceros o realizar labores de intermediación entre arrendadores y arrendatarios para arrendar inmuebles en las condiciones antes señaladas. Se presume que quien aparezca arrendando en un mismo municipio o distrito más de cinco inmuebles de su propiedad o de terceros por periodos inferiores a 30 días es prestador turístico.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lastRenderedPageBreak/>
        <w:t>Parágrafo 3</w:t>
      </w:r>
      <w:r w:rsidRPr="00AF397D">
        <w:rPr>
          <w:rFonts w:ascii="Arial" w:hAnsi="Arial" w:cs="Arial"/>
          <w:color w:val="000000"/>
          <w:shd w:val="clear" w:color="auto" w:fill="FFFFFF"/>
        </w:rPr>
        <w:t>°. El Ministerio de Comercio, Industria y Turismo definirá los criterios para otorgar la calidad de "turístico" a los bares y restaurantes a que se refiere el numeral 10 del presente artículo. </w:t>
      </w:r>
      <w:hyperlink r:id="rId13" w:anchor="0" w:history="1">
        <w:r w:rsidRPr="00AF397D">
          <w:rPr>
            <w:rStyle w:val="Hipervnculo"/>
            <w:rFonts w:ascii="Arial" w:hAnsi="Arial" w:cs="Arial"/>
            <w:shd w:val="clear" w:color="auto" w:fill="FFFFFF"/>
          </w:rPr>
          <w:t>Ver la Resolución del Min. Comercio 347 de 2007</w:t>
        </w:r>
      </w:hyperlink>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4</w:t>
      </w:r>
      <w:r w:rsidRPr="00AF397D">
        <w:rPr>
          <w:rFonts w:ascii="Arial" w:hAnsi="Arial" w:cs="Arial"/>
          <w:color w:val="000000"/>
          <w:shd w:val="clear" w:color="auto" w:fill="FFFFFF"/>
        </w:rPr>
        <w:t>°. Tratándose de los concesionarios de carreteras y de aeropuertos de que trata el numeral 14 del artículo 3° del presente artículo, la liquidación de la contribución se hará con base en el transporte de pasajeros.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w:t>
      </w:r>
      <w:bookmarkStart w:id="3" w:name="4"/>
      <w:r w:rsidRPr="00AF397D">
        <w:rPr>
          <w:rFonts w:ascii="Arial" w:hAnsi="Arial" w:cs="Arial"/>
          <w:b/>
          <w:bCs/>
          <w:color w:val="000000"/>
          <w:shd w:val="clear" w:color="auto" w:fill="FFFFFF"/>
        </w:rPr>
        <w:t> </w:t>
      </w:r>
      <w:bookmarkEnd w:id="3"/>
      <w:r w:rsidRPr="00AF397D">
        <w:rPr>
          <w:rFonts w:ascii="Arial" w:hAnsi="Arial" w:cs="Arial"/>
          <w:b/>
          <w:bCs/>
          <w:color w:val="000000"/>
          <w:shd w:val="clear" w:color="auto" w:fill="FFFFFF"/>
        </w:rPr>
        <w:t>4°.</w:t>
      </w:r>
      <w:r w:rsidRPr="00AF397D">
        <w:rPr>
          <w:rStyle w:val="apple-converted-space"/>
          <w:rFonts w:ascii="Arial" w:hAnsi="Arial" w:cs="Arial"/>
          <w:b/>
          <w:bCs/>
          <w:color w:val="000000"/>
          <w:shd w:val="clear" w:color="auto" w:fill="FFFFFF"/>
        </w:rPr>
        <w:t> </w:t>
      </w:r>
      <w:r w:rsidRPr="00AF397D">
        <w:rPr>
          <w:rFonts w:ascii="Arial" w:hAnsi="Arial" w:cs="Arial"/>
          <w:i/>
          <w:iCs/>
          <w:color w:val="000000"/>
          <w:shd w:val="clear" w:color="auto" w:fill="FFFFFF"/>
        </w:rPr>
        <w:t>Impuesto con destino al turismo como inversión social</w:t>
      </w:r>
      <w:r w:rsidRPr="00AF397D">
        <w:rPr>
          <w:rFonts w:ascii="Arial" w:hAnsi="Arial" w:cs="Arial"/>
          <w:color w:val="000000"/>
          <w:shd w:val="clear" w:color="auto" w:fill="FFFFFF"/>
        </w:rPr>
        <w:t>.  </w:t>
      </w:r>
      <w:hyperlink r:id="rId14" w:anchor="0" w:history="1">
        <w:r w:rsidRPr="00AF397D">
          <w:rPr>
            <w:rStyle w:val="Hipervnculo"/>
            <w:rFonts w:ascii="Arial" w:hAnsi="Arial" w:cs="Arial"/>
            <w:shd w:val="clear" w:color="auto" w:fill="FFFFFF"/>
          </w:rPr>
          <w:t>Reglamentado parcialmente por el Decreto Nacional 1782 de 2007</w:t>
        </w:r>
      </w:hyperlink>
      <w:r w:rsidRPr="00AF397D">
        <w:rPr>
          <w:rFonts w:ascii="Arial" w:hAnsi="Arial" w:cs="Arial"/>
          <w:color w:val="000000"/>
          <w:shd w:val="clear" w:color="auto" w:fill="FFFFFF"/>
        </w:rPr>
        <w:t>. Créase, a partir de la fecha de entrada en vigencia de la presente ley, el impuesto nacional con destino al turismo como inversión social mediante la promoción y el fortalecimiento de la competitividad que comprende la capacitación y la calidad turísticas.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El hecho generador del impuesto con destino al turismo es el ingreso al territorio colombiano de personas extranjeras, en medios de transporte aéreo de tráfico internacional.</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El sujeto activo del impuesto con destino al turismo es la Nación - Ministerio de Hacienda y Crédito Público. Son contribuyentes del impuesto con destino al turismo, todas las personas extranjeras, que ingresen a Colombia, en medios de transporte aéreo de tráfico internacional.</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Estarán exentas del impuesto con destino al turismo las siguientes personas. El gobierno nacional determinará mediante reglamento las condiciones operacionales de dichas exenciones.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a) Los agentes diplomáticos y consulares de gobiernos extranjeros acreditados ante el Gobierno colombiano, y los funcionarios de organizaciones internacionales creadas en virtud de tratados o convenios internacionales suscritos y ratificados por Colombia;</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b) Los tripulantes de las aeronaves de tráfico internacional y el personal de las líneas aéreas de tráfico internacional, quienes por la naturaleza de su labor deban ingresar a territorio nacional en comisión de servicios o en cumplimiento de sus labores;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c) Los estudiantes, becarios, docentes investigadores y personas de la tercera edad;</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d) Los pasajeros en tránsito en el territorio colombiano;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lastRenderedPageBreak/>
        <w:t>e) Las personas que ingresen a territorio colombiano en caso de arribo forzoso al territorio nacional, incluidos los casos de emergencias médicas producidas a bordo.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La tarifa del impuesto con destino al turismo, durante los años 2006, 2007 y 2008, es la suma de US$5 Dólares de los Estados Unidos o su equivalente en pesos colombianos. A partir del 1° de enero de 2009 y hasta el 31 de diciembre de 2011, la tarifa del impuesto con destino al turismo será la suma de US$10 Dólares de los Estados Unidos de América o su equivalente en pesos colombianos. A partir del 1° de enero del 2012 la tarifa del impuesto con destino al turismo será la suma de US$15 Dólares de los Estados Unidos de América o su equivalente en pesos colombianos.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El impuesto con destino al turismo deberá ser incluido por las empresas que presten de manera regular el servicio de trasporte aéreo internacional de pasajeros con destino a Colombia, en el valor de los tiquetes o pasajes aéreos y su pago se hará trimestralmente.</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5°.</w:t>
      </w:r>
      <w:r w:rsidRPr="00AF397D">
        <w:rPr>
          <w:rStyle w:val="apple-converted-space"/>
          <w:rFonts w:ascii="Arial" w:hAnsi="Arial" w:cs="Arial"/>
          <w:b/>
          <w:bCs/>
          <w:color w:val="000000"/>
          <w:shd w:val="clear" w:color="auto" w:fill="FFFFFF"/>
        </w:rPr>
        <w:t> </w:t>
      </w:r>
      <w:r w:rsidRPr="00AF397D">
        <w:rPr>
          <w:rFonts w:ascii="Arial" w:hAnsi="Arial" w:cs="Arial"/>
          <w:i/>
          <w:iCs/>
          <w:color w:val="000000"/>
          <w:shd w:val="clear" w:color="auto" w:fill="FFFFFF"/>
        </w:rPr>
        <w:t>Recaudo del impuesto para el turismo por parte de las aerolíneas</w:t>
      </w:r>
      <w:r w:rsidRPr="00AF397D">
        <w:rPr>
          <w:rFonts w:ascii="Arial" w:hAnsi="Arial" w:cs="Arial"/>
          <w:color w:val="000000"/>
          <w:shd w:val="clear" w:color="auto" w:fill="FFFFFF"/>
        </w:rPr>
        <w:t>. El valor del recaudo del impuesto para el turismo de que trata el artículo 4 de la presente ley, lo tendrán a su cargo las empresas que presten de manera regular el servicio de trasporte aéreo internacional de pasajeros con destino a Colombia y deberá ser consignado por estas a una cuenta especial de la Dirección de Crédito Público y del Tesoro Nacional del Ministerio de Hacienda y Crédito Público y será apropiado en el Presupuesto General de la Nación en las vigencias fiscales correspondientes a su recaudo y en las subsiguientes.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6°.</w:t>
      </w:r>
      <w:r w:rsidRPr="00AF397D">
        <w:rPr>
          <w:rStyle w:val="apple-converted-space"/>
          <w:rFonts w:ascii="Arial" w:hAnsi="Arial" w:cs="Arial"/>
          <w:b/>
          <w:bCs/>
          <w:color w:val="000000"/>
          <w:shd w:val="clear" w:color="auto" w:fill="FFFFFF"/>
        </w:rPr>
        <w:t> </w:t>
      </w:r>
      <w:r w:rsidRPr="00AF397D">
        <w:rPr>
          <w:rFonts w:ascii="Arial" w:hAnsi="Arial" w:cs="Arial"/>
          <w:i/>
          <w:iCs/>
          <w:color w:val="000000"/>
          <w:shd w:val="clear" w:color="auto" w:fill="FFFFFF"/>
        </w:rPr>
        <w:t>Destinación de los recursos provenientes del impuesto al turismo</w:t>
      </w:r>
      <w:r w:rsidRPr="00AF397D">
        <w:rPr>
          <w:rFonts w:ascii="Arial" w:hAnsi="Arial" w:cs="Arial"/>
          <w:color w:val="000000"/>
          <w:shd w:val="clear" w:color="auto" w:fill="FFFFFF"/>
        </w:rPr>
        <w:t>. Los recursos provenientes del impuesto con destino al turismo se destinarán a su promoción y competitividad de manera que se fomente la recreación y el adecuado aprovechamiento del tiempo libre, de acuerdo con lo previsto en el artículo 52 de la Constitución Política.</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w:t>
      </w:r>
      <w:r w:rsidRPr="00AF397D">
        <w:rPr>
          <w:rStyle w:val="apple-converted-space"/>
          <w:rFonts w:ascii="Arial" w:hAnsi="Arial" w:cs="Arial"/>
          <w:b/>
          <w:bCs/>
          <w:color w:val="000000"/>
          <w:shd w:val="clear" w:color="auto" w:fill="FFFFFF"/>
        </w:rPr>
        <w:t> </w:t>
      </w:r>
      <w:r w:rsidRPr="00AF397D">
        <w:rPr>
          <w:rFonts w:ascii="Arial" w:hAnsi="Arial" w:cs="Arial"/>
          <w:color w:val="000000"/>
          <w:shd w:val="clear" w:color="auto" w:fill="FFFFFF"/>
        </w:rPr>
        <w:t xml:space="preserve">El Comité Directivo del Fondo de Promoción Turística al que se refiere el artículo 11 de la presente ley aprobará los planes y programas en que se invertirán estos recursos de conformidad con la Política de Turismo que establezca el Ministerio de Comercio, Industria y Turismo y su ejecución se hará a través de </w:t>
      </w:r>
      <w:proofErr w:type="spellStart"/>
      <w:r w:rsidRPr="00AF397D">
        <w:rPr>
          <w:rFonts w:ascii="Arial" w:hAnsi="Arial" w:cs="Arial"/>
          <w:color w:val="000000"/>
          <w:shd w:val="clear" w:color="auto" w:fill="FFFFFF"/>
        </w:rPr>
        <w:t>Proexport</w:t>
      </w:r>
      <w:proofErr w:type="spellEnd"/>
      <w:r w:rsidRPr="00AF397D">
        <w:rPr>
          <w:rFonts w:ascii="Arial" w:hAnsi="Arial" w:cs="Arial"/>
          <w:color w:val="000000"/>
          <w:shd w:val="clear" w:color="auto" w:fill="FFFFFF"/>
        </w:rPr>
        <w:t xml:space="preserve"> para la promoción internacional, y con la entidad Administradora del Fondo de Promoción Turística de que trata el artículo 9° de la presente ley, para la promoción interna y la competitividad.</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7°.</w:t>
      </w:r>
      <w:r w:rsidRPr="00AF397D">
        <w:rPr>
          <w:rStyle w:val="apple-converted-space"/>
          <w:rFonts w:ascii="Arial" w:hAnsi="Arial" w:cs="Arial"/>
          <w:b/>
          <w:bCs/>
          <w:color w:val="000000"/>
          <w:shd w:val="clear" w:color="auto" w:fill="FFFFFF"/>
        </w:rPr>
        <w:t> </w:t>
      </w:r>
      <w:r w:rsidRPr="00AF397D">
        <w:rPr>
          <w:rFonts w:ascii="Arial" w:hAnsi="Arial" w:cs="Arial"/>
          <w:i/>
          <w:iCs/>
          <w:color w:val="000000"/>
          <w:shd w:val="clear" w:color="auto" w:fill="FFFFFF"/>
        </w:rPr>
        <w:t>Recursos de explotación de marcas relacionadas con el turismo</w:t>
      </w:r>
      <w:r w:rsidRPr="00AF397D">
        <w:rPr>
          <w:rFonts w:ascii="Arial" w:hAnsi="Arial" w:cs="Arial"/>
          <w:color w:val="000000"/>
          <w:shd w:val="clear" w:color="auto" w:fill="FFFFFF"/>
        </w:rPr>
        <w:t xml:space="preserve">. Los recursos provenientes de la explotación de marcas relacionadas con el turismo, de propiedad del Ministerio de Comercio, Industria y Turismo, harán parte de la apropiación de recursos fiscales del Ministerio de Comercio, Industria y Turismo y estarán dirigidos a la ejecución de los programas de competitividad y promoción interna e internacional del turismo de acuerdo con los lineamientos establecidos </w:t>
      </w:r>
      <w:r w:rsidRPr="00AF397D">
        <w:rPr>
          <w:rFonts w:ascii="Arial" w:hAnsi="Arial" w:cs="Arial"/>
          <w:color w:val="000000"/>
          <w:shd w:val="clear" w:color="auto" w:fill="FFFFFF"/>
        </w:rPr>
        <w:lastRenderedPageBreak/>
        <w:t>por el Ministerio de Comercio, Industria y Turismo de conformidad con lo previsto en la Política de Turismo.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8°.</w:t>
      </w:r>
      <w:r w:rsidRPr="00AF397D">
        <w:rPr>
          <w:rStyle w:val="apple-converted-space"/>
          <w:rFonts w:ascii="Arial" w:hAnsi="Arial" w:cs="Arial"/>
          <w:b/>
          <w:bCs/>
          <w:color w:val="000000"/>
          <w:shd w:val="clear" w:color="auto" w:fill="FFFFFF"/>
        </w:rPr>
        <w:t> </w:t>
      </w:r>
      <w:r w:rsidRPr="00AF397D">
        <w:rPr>
          <w:rFonts w:ascii="Arial" w:hAnsi="Arial" w:cs="Arial"/>
          <w:i/>
          <w:iCs/>
          <w:color w:val="000000"/>
          <w:shd w:val="clear" w:color="auto" w:fill="FFFFFF"/>
        </w:rPr>
        <w:t>Recursos del fondo de promoción turística</w:t>
      </w:r>
      <w:r w:rsidRPr="00AF397D">
        <w:rPr>
          <w:rFonts w:ascii="Arial" w:hAnsi="Arial" w:cs="Arial"/>
          <w:color w:val="000000"/>
          <w:shd w:val="clear" w:color="auto" w:fill="FFFFFF"/>
        </w:rPr>
        <w:t>. Además de la contribución parafiscal prevista en el artículo 1° de esta ley, el Fondo de Promoción Turística, contará con los siguientes recursos: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a) Los activos adquiridos con los recursos de la contribución parafiscal;</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b) Las donaciones;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c) Los recursos provenientes de patrocinios y actividades comerciales;</w:t>
      </w:r>
    </w:p>
    <w:p w:rsidR="00AF397D" w:rsidRPr="00AF397D" w:rsidRDefault="00AF397D" w:rsidP="00AF397D">
      <w:pPr>
        <w:pStyle w:val="NormalWeb"/>
        <w:rPr>
          <w:rFonts w:ascii="Arial" w:hAnsi="Arial" w:cs="Arial"/>
          <w:color w:val="000000"/>
          <w:shd w:val="clear" w:color="auto" w:fill="FFFFFF"/>
        </w:rPr>
      </w:pPr>
      <w:bookmarkStart w:id="4" w:name="d.8"/>
      <w:r w:rsidRPr="00AF397D">
        <w:rPr>
          <w:rFonts w:ascii="Arial" w:hAnsi="Arial" w:cs="Arial"/>
          <w:color w:val="000000"/>
          <w:shd w:val="clear" w:color="auto" w:fill="FFFFFF"/>
        </w:rPr>
        <w:t> </w:t>
      </w:r>
      <w:bookmarkEnd w:id="4"/>
      <w:r w:rsidRPr="00AF397D">
        <w:rPr>
          <w:rFonts w:ascii="Arial" w:hAnsi="Arial" w:cs="Arial"/>
          <w:color w:val="000000"/>
          <w:shd w:val="clear" w:color="auto" w:fill="FFFFFF"/>
        </w:rPr>
        <w:t>d) Los recursos derivados de la explotación económica de los activos que fueron de propiedad de la Corporación Nacional de Turismo, en los términos de la reglamentación que para el efecto expida el Ministerio de Comercio Industria y Turismo;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e) Los recursos que provengan de la cooperación internacional en materia de turismo y cualquier otro recurso que se canalice a través de tesorería;</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f) Los rendimientos financieros que se deriven del manejo de las anteriores partidas;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g) Los demás activos recibidos para el desarrollo de sus funciones.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w:t>
      </w:r>
      <w:bookmarkStart w:id="5" w:name="9"/>
      <w:r w:rsidRPr="00AF397D">
        <w:rPr>
          <w:rFonts w:ascii="Arial" w:hAnsi="Arial" w:cs="Arial"/>
          <w:b/>
          <w:bCs/>
          <w:color w:val="000000"/>
          <w:shd w:val="clear" w:color="auto" w:fill="FFFFFF"/>
        </w:rPr>
        <w:t> </w:t>
      </w:r>
      <w:bookmarkEnd w:id="5"/>
      <w:r w:rsidRPr="00AF397D">
        <w:rPr>
          <w:rFonts w:ascii="Arial" w:hAnsi="Arial" w:cs="Arial"/>
          <w:b/>
          <w:bCs/>
          <w:color w:val="000000"/>
          <w:shd w:val="clear" w:color="auto" w:fill="FFFFFF"/>
        </w:rPr>
        <w:t>9°.</w:t>
      </w:r>
      <w:r w:rsidRPr="00AF397D">
        <w:rPr>
          <w:rStyle w:val="apple-converted-space"/>
          <w:rFonts w:ascii="Arial" w:hAnsi="Arial" w:cs="Arial"/>
          <w:b/>
          <w:bCs/>
          <w:color w:val="000000"/>
          <w:shd w:val="clear" w:color="auto" w:fill="FFFFFF"/>
        </w:rPr>
        <w:t> </w:t>
      </w:r>
      <w:r w:rsidRPr="00AF397D">
        <w:rPr>
          <w:rFonts w:ascii="Arial" w:hAnsi="Arial" w:cs="Arial"/>
          <w:color w:val="000000"/>
          <w:shd w:val="clear" w:color="auto" w:fill="FFFFFF"/>
        </w:rPr>
        <w:t>El artículo</w:t>
      </w:r>
      <w:r w:rsidRPr="00AF397D">
        <w:rPr>
          <w:rStyle w:val="apple-converted-space"/>
          <w:rFonts w:ascii="Arial" w:hAnsi="Arial" w:cs="Arial"/>
          <w:color w:val="000000"/>
          <w:shd w:val="clear" w:color="auto" w:fill="FFFFFF"/>
        </w:rPr>
        <w:t> </w:t>
      </w:r>
      <w:hyperlink r:id="rId15" w:anchor="45" w:history="1">
        <w:r w:rsidRPr="00AF397D">
          <w:rPr>
            <w:rStyle w:val="Hipervnculo"/>
            <w:rFonts w:ascii="Arial" w:hAnsi="Arial" w:cs="Arial"/>
            <w:shd w:val="clear" w:color="auto" w:fill="FFFFFF"/>
          </w:rPr>
          <w:t>45</w:t>
        </w:r>
      </w:hyperlink>
      <w:r w:rsidRPr="00AF397D">
        <w:rPr>
          <w:rStyle w:val="apple-converted-space"/>
          <w:rFonts w:ascii="Arial" w:hAnsi="Arial" w:cs="Arial"/>
          <w:color w:val="000000"/>
          <w:shd w:val="clear" w:color="auto" w:fill="FFFFFF"/>
        </w:rPr>
        <w:t> </w:t>
      </w:r>
      <w:r w:rsidRPr="00AF397D">
        <w:rPr>
          <w:rFonts w:ascii="Arial" w:hAnsi="Arial" w:cs="Arial"/>
          <w:color w:val="000000"/>
          <w:shd w:val="clear" w:color="auto" w:fill="FFFFFF"/>
        </w:rPr>
        <w:t>de la Ley 300 de 1996, quedará así:</w:t>
      </w:r>
      <w:r w:rsidRPr="00AF397D">
        <w:rPr>
          <w:rStyle w:val="apple-converted-space"/>
          <w:rFonts w:ascii="Arial" w:hAnsi="Arial" w:cs="Arial"/>
          <w:color w:val="000000"/>
          <w:shd w:val="clear" w:color="auto" w:fill="FFFFFF"/>
        </w:rPr>
        <w:t> </w:t>
      </w:r>
      <w:r w:rsidRPr="00AF397D">
        <w:rPr>
          <w:rFonts w:ascii="Arial" w:hAnsi="Arial" w:cs="Arial"/>
          <w:i/>
          <w:iCs/>
          <w:color w:val="000000"/>
          <w:shd w:val="clear" w:color="auto" w:fill="FFFFFF"/>
        </w:rPr>
        <w:t>Administración del Fondo de Promoción Turística</w:t>
      </w:r>
      <w:r w:rsidRPr="00AF397D">
        <w:rPr>
          <w:rFonts w:ascii="Arial" w:hAnsi="Arial" w:cs="Arial"/>
          <w:color w:val="000000"/>
          <w:shd w:val="clear" w:color="auto" w:fill="FFFFFF"/>
        </w:rPr>
        <w:t xml:space="preserve">. El Ministerio de Comercio, Industria y Turismo podrá celebrar contratos con el sector privado del turismo que reúna condiciones de representatividad nacional de los sectores </w:t>
      </w:r>
      <w:proofErr w:type="spellStart"/>
      <w:r w:rsidRPr="00AF397D">
        <w:rPr>
          <w:rFonts w:ascii="Arial" w:hAnsi="Arial" w:cs="Arial"/>
          <w:color w:val="000000"/>
          <w:shd w:val="clear" w:color="auto" w:fill="FFFFFF"/>
        </w:rPr>
        <w:t>aportantes</w:t>
      </w:r>
      <w:proofErr w:type="spellEnd"/>
      <w:r w:rsidRPr="00AF397D">
        <w:rPr>
          <w:rFonts w:ascii="Arial" w:hAnsi="Arial" w:cs="Arial"/>
          <w:color w:val="000000"/>
          <w:shd w:val="clear" w:color="auto" w:fill="FFFFFF"/>
        </w:rPr>
        <w:t xml:space="preserve"> para la administración del Fondo de Promoción Turística. El Ministerio de Comercio, Industria y Turismo reglamentará la materia.</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w:t>
      </w:r>
      <w:bookmarkStart w:id="6" w:name="10"/>
      <w:r w:rsidRPr="00AF397D">
        <w:rPr>
          <w:rFonts w:ascii="Arial" w:hAnsi="Arial" w:cs="Arial"/>
          <w:b/>
          <w:bCs/>
          <w:color w:val="000000"/>
          <w:shd w:val="clear" w:color="auto" w:fill="FFFFFF"/>
        </w:rPr>
        <w:t> </w:t>
      </w:r>
      <w:bookmarkEnd w:id="6"/>
      <w:r w:rsidRPr="00AF397D">
        <w:rPr>
          <w:rFonts w:ascii="Arial" w:hAnsi="Arial" w:cs="Arial"/>
          <w:b/>
          <w:bCs/>
          <w:color w:val="000000"/>
          <w:shd w:val="clear" w:color="auto" w:fill="FFFFFF"/>
        </w:rPr>
        <w:t>10.</w:t>
      </w:r>
      <w:r w:rsidRPr="00AF397D">
        <w:rPr>
          <w:rStyle w:val="apple-converted-space"/>
          <w:rFonts w:ascii="Arial" w:hAnsi="Arial" w:cs="Arial"/>
          <w:b/>
          <w:bCs/>
          <w:color w:val="000000"/>
          <w:shd w:val="clear" w:color="auto" w:fill="FFFFFF"/>
        </w:rPr>
        <w:t> </w:t>
      </w:r>
      <w:r w:rsidRPr="00AF397D">
        <w:rPr>
          <w:rFonts w:ascii="Arial" w:hAnsi="Arial" w:cs="Arial"/>
          <w:color w:val="000000"/>
          <w:shd w:val="clear" w:color="auto" w:fill="FFFFFF"/>
        </w:rPr>
        <w:t>El artículo</w:t>
      </w:r>
      <w:r w:rsidRPr="00AF397D">
        <w:rPr>
          <w:rStyle w:val="apple-converted-space"/>
          <w:rFonts w:ascii="Arial" w:hAnsi="Arial" w:cs="Arial"/>
          <w:color w:val="000000"/>
          <w:shd w:val="clear" w:color="auto" w:fill="FFFFFF"/>
        </w:rPr>
        <w:t> </w:t>
      </w:r>
      <w:hyperlink r:id="rId16" w:anchor="43" w:history="1">
        <w:r w:rsidRPr="00AF397D">
          <w:rPr>
            <w:rStyle w:val="Hipervnculo"/>
            <w:rFonts w:ascii="Arial" w:hAnsi="Arial" w:cs="Arial"/>
            <w:shd w:val="clear" w:color="auto" w:fill="FFFFFF"/>
          </w:rPr>
          <w:t>43</w:t>
        </w:r>
      </w:hyperlink>
      <w:r w:rsidRPr="00AF397D">
        <w:rPr>
          <w:rStyle w:val="apple-converted-space"/>
          <w:rFonts w:ascii="Arial" w:hAnsi="Arial" w:cs="Arial"/>
          <w:color w:val="000000"/>
          <w:shd w:val="clear" w:color="auto" w:fill="FFFFFF"/>
        </w:rPr>
        <w:t> </w:t>
      </w:r>
      <w:r w:rsidRPr="00AF397D">
        <w:rPr>
          <w:rFonts w:ascii="Arial" w:hAnsi="Arial" w:cs="Arial"/>
          <w:color w:val="000000"/>
          <w:shd w:val="clear" w:color="auto" w:fill="FFFFFF"/>
        </w:rPr>
        <w:t>de la ley 300 de 1996, quedará así:</w:t>
      </w:r>
      <w:r w:rsidRPr="00AF397D">
        <w:rPr>
          <w:rStyle w:val="apple-converted-space"/>
          <w:rFonts w:ascii="Arial" w:hAnsi="Arial" w:cs="Arial"/>
          <w:color w:val="000000"/>
          <w:shd w:val="clear" w:color="auto" w:fill="FFFFFF"/>
        </w:rPr>
        <w:t> </w:t>
      </w:r>
      <w:r w:rsidRPr="00AF397D">
        <w:rPr>
          <w:rFonts w:ascii="Arial" w:hAnsi="Arial" w:cs="Arial"/>
          <w:i/>
          <w:iCs/>
          <w:color w:val="000000"/>
          <w:shd w:val="clear" w:color="auto" w:fill="FFFFFF"/>
        </w:rPr>
        <w:t>Destinación de los recursos del Fondo de Promoción Turística</w:t>
      </w:r>
      <w:r w:rsidRPr="00AF397D">
        <w:rPr>
          <w:rFonts w:ascii="Arial" w:hAnsi="Arial" w:cs="Arial"/>
          <w:color w:val="000000"/>
          <w:shd w:val="clear" w:color="auto" w:fill="FFFFFF"/>
        </w:rPr>
        <w:t>. Los recursos del Fondo de Promoción Turística se destinarán a la ejecución de proyectos de competitividad, promoción y mercadeo con el fin de incrementar el turismo interno y receptivo, de acuerdo con la Política de Turismo que presente el Ministerio de Comercio, Industria y Turismo al Comité Directivo del Fondo de Promoción Turística, la cual tendrá en cuenta los proyectos previamente incluidos en el Banco de Proyectos creado en la presente ley.</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 xml:space="preserve">El Fondo también tendrá por objeto financiar la ejecución de políticas de prevención y campañas para la erradicación del turismo asociado a prácticas sexuales con menores de edad, las cuales serán trazadas por el Ministerio de Comercio, Industria y Turismo en coordinación con el Instituto Colombiano de </w:t>
      </w:r>
      <w:r w:rsidRPr="00AF397D">
        <w:rPr>
          <w:rFonts w:ascii="Arial" w:hAnsi="Arial" w:cs="Arial"/>
          <w:color w:val="000000"/>
          <w:shd w:val="clear" w:color="auto" w:fill="FFFFFF"/>
        </w:rPr>
        <w:lastRenderedPageBreak/>
        <w:t>Bienestar Familiar. Un porcentaje de los recursos del Fondo de Promoción Turística que será definido anualmente por el Consejo Directivo y el monto total de las multas que se imponga a los prestadores de servicios turísticos en ejecución de la Ley 679 de 2001, se destinarán a este propósito. El gobierno reglamentará la materia en lo que sea necesario.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w:t>
      </w:r>
      <w:bookmarkStart w:id="7" w:name="11"/>
      <w:r w:rsidRPr="00AF397D">
        <w:rPr>
          <w:rFonts w:ascii="Arial" w:hAnsi="Arial" w:cs="Arial"/>
          <w:b/>
          <w:bCs/>
          <w:color w:val="000000"/>
          <w:shd w:val="clear" w:color="auto" w:fill="FFFFFF"/>
        </w:rPr>
        <w:t> </w:t>
      </w:r>
      <w:bookmarkEnd w:id="7"/>
      <w:r w:rsidRPr="00AF397D">
        <w:rPr>
          <w:rFonts w:ascii="Arial" w:hAnsi="Arial" w:cs="Arial"/>
          <w:b/>
          <w:bCs/>
          <w:color w:val="000000"/>
          <w:shd w:val="clear" w:color="auto" w:fill="FFFFFF"/>
        </w:rPr>
        <w:t>11.</w:t>
      </w:r>
      <w:r w:rsidRPr="00AF397D">
        <w:rPr>
          <w:rStyle w:val="apple-converted-space"/>
          <w:rFonts w:ascii="Arial" w:hAnsi="Arial" w:cs="Arial"/>
          <w:b/>
          <w:bCs/>
          <w:color w:val="000000"/>
          <w:shd w:val="clear" w:color="auto" w:fill="FFFFFF"/>
        </w:rPr>
        <w:t> </w:t>
      </w:r>
      <w:r w:rsidRPr="00AF397D">
        <w:rPr>
          <w:rFonts w:ascii="Arial" w:hAnsi="Arial" w:cs="Arial"/>
          <w:color w:val="000000"/>
          <w:shd w:val="clear" w:color="auto" w:fill="FFFFFF"/>
        </w:rPr>
        <w:t>El artículo</w:t>
      </w:r>
      <w:r w:rsidRPr="00AF397D">
        <w:rPr>
          <w:rStyle w:val="apple-converted-space"/>
          <w:rFonts w:ascii="Arial" w:hAnsi="Arial" w:cs="Arial"/>
          <w:color w:val="000000"/>
          <w:shd w:val="clear" w:color="auto" w:fill="FFFFFF"/>
        </w:rPr>
        <w:t> </w:t>
      </w:r>
      <w:hyperlink r:id="rId17" w:anchor="46" w:history="1">
        <w:r w:rsidRPr="00AF397D">
          <w:rPr>
            <w:rStyle w:val="Hipervnculo"/>
            <w:rFonts w:ascii="Arial" w:hAnsi="Arial" w:cs="Arial"/>
            <w:shd w:val="clear" w:color="auto" w:fill="FFFFFF"/>
          </w:rPr>
          <w:t>46</w:t>
        </w:r>
      </w:hyperlink>
      <w:r w:rsidRPr="00AF397D">
        <w:rPr>
          <w:rStyle w:val="apple-converted-space"/>
          <w:rFonts w:ascii="Arial" w:hAnsi="Arial" w:cs="Arial"/>
          <w:color w:val="000000"/>
          <w:shd w:val="clear" w:color="auto" w:fill="FFFFFF"/>
        </w:rPr>
        <w:t> </w:t>
      </w:r>
      <w:r w:rsidRPr="00AF397D">
        <w:rPr>
          <w:rFonts w:ascii="Arial" w:hAnsi="Arial" w:cs="Arial"/>
          <w:color w:val="000000"/>
          <w:shd w:val="clear" w:color="auto" w:fill="FFFFFF"/>
        </w:rPr>
        <w:t>de Ley 300 de 1996, quedará así:</w:t>
      </w:r>
      <w:r w:rsidRPr="00AF397D">
        <w:rPr>
          <w:rStyle w:val="apple-converted-space"/>
          <w:rFonts w:ascii="Arial" w:hAnsi="Arial" w:cs="Arial"/>
          <w:color w:val="000000"/>
          <w:shd w:val="clear" w:color="auto" w:fill="FFFFFF"/>
        </w:rPr>
        <w:t> </w:t>
      </w:r>
      <w:r w:rsidRPr="00AF397D">
        <w:rPr>
          <w:rFonts w:ascii="Arial" w:hAnsi="Arial" w:cs="Arial"/>
          <w:i/>
          <w:iCs/>
          <w:color w:val="000000"/>
          <w:shd w:val="clear" w:color="auto" w:fill="FFFFFF"/>
        </w:rPr>
        <w:t>Del Comité Directivo del Fondo Promoción Turística</w:t>
      </w:r>
      <w:r w:rsidRPr="00AF397D">
        <w:rPr>
          <w:rFonts w:ascii="Arial" w:hAnsi="Arial" w:cs="Arial"/>
          <w:color w:val="000000"/>
          <w:shd w:val="clear" w:color="auto" w:fill="FFFFFF"/>
        </w:rPr>
        <w:t>. El Fondo de Promoción Turística tendrá un Comité Directivo compuesto por diez miembros, de la siguiente manera:</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a) El Ministro de Comercio, Industria y Turismo quien sólo podrá delegar en el viceministro del ramo. El representante del Ministerio de Comercio, Industria y Turismo presidirá el Comité;</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 xml:space="preserve">b) El Presidente de </w:t>
      </w:r>
      <w:proofErr w:type="spellStart"/>
      <w:r w:rsidRPr="00AF397D">
        <w:rPr>
          <w:rFonts w:ascii="Arial" w:hAnsi="Arial" w:cs="Arial"/>
          <w:color w:val="000000"/>
          <w:shd w:val="clear" w:color="auto" w:fill="FFFFFF"/>
        </w:rPr>
        <w:t>Proexport</w:t>
      </w:r>
      <w:proofErr w:type="spellEnd"/>
      <w:r w:rsidRPr="00AF397D">
        <w:rPr>
          <w:rFonts w:ascii="Arial" w:hAnsi="Arial" w:cs="Arial"/>
          <w:color w:val="000000"/>
          <w:shd w:val="clear" w:color="auto" w:fill="FFFFFF"/>
        </w:rPr>
        <w:t xml:space="preserve"> o su delegado;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 xml:space="preserve">c) Cinco (5) representantes de organizaciones gremiales de </w:t>
      </w:r>
      <w:proofErr w:type="spellStart"/>
      <w:r w:rsidRPr="00AF397D">
        <w:rPr>
          <w:rFonts w:ascii="Arial" w:hAnsi="Arial" w:cs="Arial"/>
          <w:color w:val="000000"/>
          <w:shd w:val="clear" w:color="auto" w:fill="FFFFFF"/>
        </w:rPr>
        <w:t>aportantes</w:t>
      </w:r>
      <w:proofErr w:type="spellEnd"/>
      <w:r w:rsidRPr="00AF397D">
        <w:rPr>
          <w:rFonts w:ascii="Arial" w:hAnsi="Arial" w:cs="Arial"/>
          <w:color w:val="000000"/>
          <w:shd w:val="clear" w:color="auto" w:fill="FFFFFF"/>
        </w:rPr>
        <w:t>;</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d) Un gobernador designado por la Conferencia de Gobernadores;</w:t>
      </w:r>
    </w:p>
    <w:p w:rsidR="00AF397D" w:rsidRPr="00AF397D" w:rsidRDefault="00AF397D" w:rsidP="00AF397D">
      <w:pPr>
        <w:pStyle w:val="NormalWeb"/>
        <w:rPr>
          <w:rFonts w:ascii="Arial" w:hAnsi="Arial" w:cs="Arial"/>
          <w:color w:val="000000"/>
          <w:shd w:val="clear" w:color="auto" w:fill="FFFFFF"/>
        </w:rPr>
      </w:pPr>
      <w:bookmarkStart w:id="8" w:name="11.e"/>
      <w:r w:rsidRPr="00AF397D">
        <w:rPr>
          <w:rFonts w:ascii="Arial" w:hAnsi="Arial" w:cs="Arial"/>
          <w:color w:val="000000"/>
          <w:shd w:val="clear" w:color="auto" w:fill="FFFFFF"/>
        </w:rPr>
        <w:t> </w:t>
      </w:r>
      <w:bookmarkEnd w:id="8"/>
      <w:r w:rsidRPr="00AF397D">
        <w:rPr>
          <w:rFonts w:ascii="Arial" w:hAnsi="Arial" w:cs="Arial"/>
          <w:color w:val="000000"/>
          <w:shd w:val="clear" w:color="auto" w:fill="FFFFFF"/>
        </w:rPr>
        <w:t>e) </w:t>
      </w:r>
      <w:hyperlink r:id="rId18" w:anchor="20" w:history="1">
        <w:r w:rsidRPr="00AF397D">
          <w:rPr>
            <w:rStyle w:val="Hipervnculo"/>
            <w:rFonts w:ascii="Arial" w:hAnsi="Arial" w:cs="Arial"/>
            <w:shd w:val="clear" w:color="auto" w:fill="FFFFFF"/>
          </w:rPr>
          <w:t>Modificado por el art. 16, Ley 1558 de 2012</w:t>
        </w:r>
      </w:hyperlink>
      <w:r w:rsidRPr="00AF397D">
        <w:rPr>
          <w:rFonts w:ascii="Arial" w:hAnsi="Arial" w:cs="Arial"/>
          <w:color w:val="000000"/>
          <w:shd w:val="clear" w:color="auto" w:fill="FFFFFF"/>
        </w:rPr>
        <w:t>. Un alcalde designado por la Federación Colombiana de Municipios;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f) Un representante del sector de ecoturismo.</w:t>
      </w:r>
    </w:p>
    <w:p w:rsidR="00AF397D" w:rsidRPr="00AF397D" w:rsidRDefault="00AF397D" w:rsidP="00AF397D">
      <w:pPr>
        <w:pStyle w:val="NormalWeb"/>
        <w:rPr>
          <w:rFonts w:ascii="Arial" w:hAnsi="Arial" w:cs="Arial"/>
          <w:color w:val="000000"/>
          <w:shd w:val="clear" w:color="auto" w:fill="FFFFFF"/>
        </w:rPr>
      </w:pPr>
      <w:bookmarkStart w:id="9" w:name="11.g"/>
      <w:r w:rsidRPr="00AF397D">
        <w:rPr>
          <w:rFonts w:ascii="Arial" w:hAnsi="Arial" w:cs="Arial"/>
          <w:color w:val="000000"/>
          <w:shd w:val="clear" w:color="auto" w:fill="FFFFFF"/>
        </w:rPr>
        <w:t> </w:t>
      </w:r>
      <w:bookmarkEnd w:id="9"/>
      <w:r w:rsidRPr="00AF397D">
        <w:rPr>
          <w:rFonts w:ascii="Arial" w:hAnsi="Arial" w:cs="Arial"/>
          <w:color w:val="000000"/>
          <w:shd w:val="clear" w:color="auto" w:fill="FFFFFF"/>
        </w:rPr>
        <w:t>g)</w:t>
      </w:r>
      <w:r w:rsidRPr="00AF397D">
        <w:rPr>
          <w:rStyle w:val="apple-converted-space"/>
          <w:rFonts w:ascii="Arial" w:hAnsi="Arial" w:cs="Arial"/>
          <w:color w:val="000000"/>
          <w:shd w:val="clear" w:color="auto" w:fill="FFFFFF"/>
        </w:rPr>
        <w:t> </w:t>
      </w:r>
      <w:hyperlink r:id="rId19" w:anchor="20" w:history="1">
        <w:r w:rsidRPr="00AF397D">
          <w:rPr>
            <w:rStyle w:val="Hipervnculo"/>
            <w:rFonts w:ascii="Arial" w:hAnsi="Arial" w:cs="Arial"/>
            <w:shd w:val="clear" w:color="auto" w:fill="FFFFFF"/>
          </w:rPr>
          <w:t>Adicionado por el art. 20, Ley 1558 de 2012</w:t>
        </w:r>
      </w:hyperlink>
      <w:r w:rsidRPr="00AF397D">
        <w:rPr>
          <w:rFonts w:ascii="Arial" w:hAnsi="Arial" w:cs="Arial"/>
          <w:color w:val="000000"/>
          <w:shd w:val="clear" w:color="auto" w:fill="FFFFFF"/>
        </w:rPr>
        <w:t>.</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A las reuniones del Comité Directivo del Fondo será invitado el Director (a) del Instituto Colombiano de Bienestar Familiar, cuando quiera que se discuta la destinación de recursos para la ejecución de políticas de prevención y campañas para la erradicación de turismo asociado a prácticas sexuales con menores de edad.</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1</w:t>
      </w:r>
      <w:r w:rsidRPr="00AF397D">
        <w:rPr>
          <w:rFonts w:ascii="Arial" w:hAnsi="Arial" w:cs="Arial"/>
          <w:color w:val="000000"/>
          <w:shd w:val="clear" w:color="auto" w:fill="FFFFFF"/>
        </w:rPr>
        <w:t>°. La adopción de las decisiones del Comité Directivo requerirá el voto favorable del Ministerio de Comercio, Industria y Turismo.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2</w:t>
      </w:r>
      <w:r w:rsidRPr="00AF397D">
        <w:rPr>
          <w:rFonts w:ascii="Arial" w:hAnsi="Arial" w:cs="Arial"/>
          <w:color w:val="000000"/>
          <w:shd w:val="clear" w:color="auto" w:fill="FFFFFF"/>
        </w:rPr>
        <w:t>°. El Ministerio de Comercio, Industria y Turismo reglamentará el procedimiento de selección de los representantes gremiales al Comité Directivo del Fondo de Promoción Turística, garantizando la participación de los pequeños prestadores de servicios turísticos.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3</w:t>
      </w:r>
      <w:r w:rsidRPr="00AF397D">
        <w:rPr>
          <w:rFonts w:ascii="Arial" w:hAnsi="Arial" w:cs="Arial"/>
          <w:color w:val="000000"/>
          <w:shd w:val="clear" w:color="auto" w:fill="FFFFFF"/>
        </w:rPr>
        <w:t>°. Los directivos y representantes de las asociaciones o agremiaciones que hagan parte del Comité Directivo del Fondo de Promoción Turística, deberán ser elegidos observando las condiciones y términos establecidos en el artículo 43 de la Ley 188 de 1995.</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lastRenderedPageBreak/>
        <w:t>Parágrafo transitorio.</w:t>
      </w:r>
      <w:r w:rsidRPr="00AF397D">
        <w:rPr>
          <w:rStyle w:val="apple-converted-space"/>
          <w:rFonts w:ascii="Arial" w:hAnsi="Arial" w:cs="Arial"/>
          <w:color w:val="000000"/>
          <w:shd w:val="clear" w:color="auto" w:fill="FFFFFF"/>
        </w:rPr>
        <w:t> </w:t>
      </w:r>
      <w:r w:rsidRPr="00AF397D">
        <w:rPr>
          <w:rFonts w:ascii="Arial" w:hAnsi="Arial" w:cs="Arial"/>
          <w:color w:val="000000"/>
          <w:shd w:val="clear" w:color="auto" w:fill="FFFFFF"/>
        </w:rPr>
        <w:t xml:space="preserve">El Comité Directivo del Fondo de Promoción Turística a que se refiere el artículo 46 de la Ley 300 de 1996, continuará ejerciendo sus funciones hasta que se integre el nuevo Comité de </w:t>
      </w:r>
      <w:proofErr w:type="spellStart"/>
      <w:r w:rsidRPr="00AF397D">
        <w:rPr>
          <w:rFonts w:ascii="Arial" w:hAnsi="Arial" w:cs="Arial"/>
          <w:color w:val="000000"/>
          <w:shd w:val="clear" w:color="auto" w:fill="FFFFFF"/>
        </w:rPr>
        <w:t>que</w:t>
      </w:r>
      <w:proofErr w:type="spellEnd"/>
      <w:r w:rsidRPr="00AF397D">
        <w:rPr>
          <w:rFonts w:ascii="Arial" w:hAnsi="Arial" w:cs="Arial"/>
          <w:color w:val="000000"/>
          <w:shd w:val="clear" w:color="auto" w:fill="FFFFFF"/>
        </w:rPr>
        <w:t xml:space="preserve"> trata este artículo.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w:t>
      </w:r>
      <w:bookmarkStart w:id="10" w:name="12"/>
      <w:r w:rsidRPr="00AF397D">
        <w:rPr>
          <w:rFonts w:ascii="Arial" w:hAnsi="Arial" w:cs="Arial"/>
          <w:b/>
          <w:bCs/>
          <w:color w:val="000000"/>
          <w:shd w:val="clear" w:color="auto" w:fill="FFFFFF"/>
        </w:rPr>
        <w:t> </w:t>
      </w:r>
      <w:bookmarkEnd w:id="10"/>
      <w:r w:rsidRPr="00AF397D">
        <w:rPr>
          <w:rFonts w:ascii="Arial" w:hAnsi="Arial" w:cs="Arial"/>
          <w:b/>
          <w:bCs/>
          <w:color w:val="000000"/>
          <w:shd w:val="clear" w:color="auto" w:fill="FFFFFF"/>
        </w:rPr>
        <w:t>12.</w:t>
      </w:r>
      <w:r w:rsidRPr="00AF397D">
        <w:rPr>
          <w:rStyle w:val="apple-converted-space"/>
          <w:rFonts w:ascii="Arial" w:hAnsi="Arial" w:cs="Arial"/>
          <w:b/>
          <w:bCs/>
          <w:color w:val="000000"/>
          <w:shd w:val="clear" w:color="auto" w:fill="FFFFFF"/>
        </w:rPr>
        <w:t> </w:t>
      </w:r>
      <w:r w:rsidRPr="00AF397D">
        <w:rPr>
          <w:rFonts w:ascii="Arial" w:hAnsi="Arial" w:cs="Arial"/>
          <w:color w:val="000000"/>
          <w:shd w:val="clear" w:color="auto" w:fill="FFFFFF"/>
        </w:rPr>
        <w:t>El artículo</w:t>
      </w:r>
      <w:r w:rsidRPr="00AF397D">
        <w:rPr>
          <w:rStyle w:val="apple-converted-space"/>
          <w:rFonts w:ascii="Arial" w:hAnsi="Arial" w:cs="Arial"/>
          <w:color w:val="000000"/>
          <w:shd w:val="clear" w:color="auto" w:fill="FFFFFF"/>
        </w:rPr>
        <w:t> </w:t>
      </w:r>
      <w:hyperlink r:id="rId20" w:anchor="62" w:history="1">
        <w:r w:rsidRPr="00AF397D">
          <w:rPr>
            <w:rStyle w:val="Hipervnculo"/>
            <w:rFonts w:ascii="Arial" w:hAnsi="Arial" w:cs="Arial"/>
            <w:shd w:val="clear" w:color="auto" w:fill="FFFFFF"/>
          </w:rPr>
          <w:t>62</w:t>
        </w:r>
      </w:hyperlink>
      <w:r w:rsidRPr="00AF397D">
        <w:rPr>
          <w:rStyle w:val="apple-converted-space"/>
          <w:rFonts w:ascii="Arial" w:hAnsi="Arial" w:cs="Arial"/>
          <w:color w:val="000000"/>
          <w:shd w:val="clear" w:color="auto" w:fill="FFFFFF"/>
        </w:rPr>
        <w:t> </w:t>
      </w:r>
      <w:r w:rsidRPr="00AF397D">
        <w:rPr>
          <w:rFonts w:ascii="Arial" w:hAnsi="Arial" w:cs="Arial"/>
          <w:color w:val="000000"/>
          <w:shd w:val="clear" w:color="auto" w:fill="FFFFFF"/>
        </w:rPr>
        <w:t>de la ley 300 de 1996, quedará así:</w:t>
      </w:r>
      <w:r w:rsidRPr="00AF397D">
        <w:rPr>
          <w:rStyle w:val="apple-converted-space"/>
          <w:rFonts w:ascii="Arial" w:hAnsi="Arial" w:cs="Arial"/>
          <w:color w:val="000000"/>
          <w:shd w:val="clear" w:color="auto" w:fill="FFFFFF"/>
        </w:rPr>
        <w:t> </w:t>
      </w:r>
      <w:r w:rsidRPr="00AF397D">
        <w:rPr>
          <w:rFonts w:ascii="Arial" w:hAnsi="Arial" w:cs="Arial"/>
          <w:i/>
          <w:iCs/>
          <w:color w:val="000000"/>
          <w:shd w:val="clear" w:color="auto" w:fill="FFFFFF"/>
        </w:rPr>
        <w:t>Prestadores de servicios turísticos que se deben registrar.</w:t>
      </w:r>
      <w:r w:rsidRPr="00AF397D">
        <w:rPr>
          <w:rStyle w:val="apple-converted-space"/>
          <w:rFonts w:ascii="Arial" w:hAnsi="Arial" w:cs="Arial"/>
          <w:color w:val="000000"/>
          <w:shd w:val="clear" w:color="auto" w:fill="FFFFFF"/>
        </w:rPr>
        <w:t> </w:t>
      </w:r>
      <w:r w:rsidRPr="00AF397D">
        <w:rPr>
          <w:rFonts w:ascii="Arial" w:hAnsi="Arial" w:cs="Arial"/>
          <w:color w:val="000000"/>
          <w:shd w:val="clear" w:color="auto" w:fill="FFFFFF"/>
        </w:rPr>
        <w:t>Son prestadores de servicios turísticos los siguientes: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1. Los hoteles, centros vacacionales, campamentos, viviendas turísticas y otros tipos de hospedaje no permanente, excluidos los establecimientos que prestan el servicio de alojamiento por horas.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2. Las agencias de viajes y turismo, agencias mayoristas y las agencias operadoras.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3. Las oficinas de representaciones turísticas.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4. Los guías de turismo.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5. Los operadores profesionales de congresos, ferias y convenciones.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 xml:space="preserve">6. Los </w:t>
      </w:r>
      <w:proofErr w:type="spellStart"/>
      <w:r w:rsidRPr="00AF397D">
        <w:rPr>
          <w:rFonts w:ascii="Arial" w:hAnsi="Arial" w:cs="Arial"/>
          <w:color w:val="000000"/>
          <w:shd w:val="clear" w:color="auto" w:fill="FFFFFF"/>
        </w:rPr>
        <w:t>ar</w:t>
      </w:r>
      <w:proofErr w:type="spellEnd"/>
      <w:r w:rsidRPr="00AF397D">
        <w:rPr>
          <w:rFonts w:ascii="Arial" w:hAnsi="Arial" w:cs="Arial"/>
          <w:color w:val="000000"/>
          <w:shd w:val="clear" w:color="auto" w:fill="FFFFFF"/>
        </w:rPr>
        <w:t xml:space="preserve"> </w:t>
      </w:r>
      <w:proofErr w:type="spellStart"/>
      <w:r w:rsidRPr="00AF397D">
        <w:rPr>
          <w:rFonts w:ascii="Arial" w:hAnsi="Arial" w:cs="Arial"/>
          <w:color w:val="000000"/>
          <w:shd w:val="clear" w:color="auto" w:fill="FFFFFF"/>
        </w:rPr>
        <w:t>rendadores</w:t>
      </w:r>
      <w:proofErr w:type="spellEnd"/>
      <w:r w:rsidRPr="00AF397D">
        <w:rPr>
          <w:rFonts w:ascii="Arial" w:hAnsi="Arial" w:cs="Arial"/>
          <w:color w:val="000000"/>
          <w:shd w:val="clear" w:color="auto" w:fill="FFFFFF"/>
        </w:rPr>
        <w:t xml:space="preserve"> de vehículos para turismo nacional e internacional.</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7. Los usuarios operadores, desarrolladores e industriales en zonas francas turísticas.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8. Las empresas promotoras y comercializadoras de proyectos de tiempo compartido y multipropiedad.</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9. Los establecimientos de gastronomía y bares, cuyos ingresos operacionales netos sean superiores a los 500 salarios mínimos legales mensuales vigentes.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 xml:space="preserve">10. Las empresas captadoras de ahorro para viajes y de servicios turísticos </w:t>
      </w:r>
      <w:proofErr w:type="spellStart"/>
      <w:r w:rsidRPr="00AF397D">
        <w:rPr>
          <w:rFonts w:ascii="Arial" w:hAnsi="Arial" w:cs="Arial"/>
          <w:color w:val="000000"/>
          <w:shd w:val="clear" w:color="auto" w:fill="FFFFFF"/>
        </w:rPr>
        <w:t>prepagados</w:t>
      </w:r>
      <w:proofErr w:type="spellEnd"/>
      <w:r w:rsidRPr="00AF397D">
        <w:rPr>
          <w:rFonts w:ascii="Arial" w:hAnsi="Arial" w:cs="Arial"/>
          <w:color w:val="000000"/>
          <w:shd w:val="clear" w:color="auto" w:fill="FFFFFF"/>
        </w:rPr>
        <w:t>.</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11. Los concesionarios de servicios turísticos en parque.</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12. Los demás que el Ministerio de Comercio, Industria y Turismo determine.</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13. Las empresas de transporte terrestre automotor especializado, las empresas operadoras de chivas y de otros vehículos automotores que presten servicio de transporte turístico.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w:t>
      </w:r>
      <w:bookmarkStart w:id="11" w:name="13"/>
      <w:r w:rsidRPr="00AF397D">
        <w:rPr>
          <w:rFonts w:ascii="Arial" w:hAnsi="Arial" w:cs="Arial"/>
          <w:b/>
          <w:bCs/>
          <w:color w:val="000000"/>
          <w:shd w:val="clear" w:color="auto" w:fill="FFFFFF"/>
        </w:rPr>
        <w:t> </w:t>
      </w:r>
      <w:bookmarkEnd w:id="11"/>
      <w:r w:rsidRPr="00AF397D">
        <w:rPr>
          <w:rFonts w:ascii="Arial" w:hAnsi="Arial" w:cs="Arial"/>
          <w:b/>
          <w:bCs/>
          <w:color w:val="000000"/>
          <w:shd w:val="clear" w:color="auto" w:fill="FFFFFF"/>
        </w:rPr>
        <w:t>13.</w:t>
      </w:r>
      <w:r w:rsidRPr="00AF397D">
        <w:rPr>
          <w:rStyle w:val="apple-converted-space"/>
          <w:rFonts w:ascii="Arial" w:hAnsi="Arial" w:cs="Arial"/>
          <w:b/>
          <w:bCs/>
          <w:color w:val="000000"/>
          <w:shd w:val="clear" w:color="auto" w:fill="FFFFFF"/>
        </w:rPr>
        <w:t> </w:t>
      </w:r>
      <w:r w:rsidRPr="00AF397D">
        <w:rPr>
          <w:rFonts w:ascii="Arial" w:hAnsi="Arial" w:cs="Arial"/>
          <w:color w:val="000000"/>
          <w:shd w:val="clear" w:color="auto" w:fill="FFFFFF"/>
        </w:rPr>
        <w:t>El artículo</w:t>
      </w:r>
      <w:r w:rsidRPr="00AF397D">
        <w:rPr>
          <w:rStyle w:val="apple-converted-space"/>
          <w:rFonts w:ascii="Arial" w:hAnsi="Arial" w:cs="Arial"/>
          <w:color w:val="000000"/>
          <w:shd w:val="clear" w:color="auto" w:fill="FFFFFF"/>
        </w:rPr>
        <w:t> </w:t>
      </w:r>
      <w:hyperlink r:id="rId21" w:anchor="61" w:history="1">
        <w:r w:rsidRPr="00AF397D">
          <w:rPr>
            <w:rStyle w:val="Hipervnculo"/>
            <w:rFonts w:ascii="Arial" w:hAnsi="Arial" w:cs="Arial"/>
            <w:shd w:val="clear" w:color="auto" w:fill="FFFFFF"/>
          </w:rPr>
          <w:t>61</w:t>
        </w:r>
      </w:hyperlink>
      <w:r w:rsidRPr="00AF397D">
        <w:rPr>
          <w:rStyle w:val="apple-converted-space"/>
          <w:rFonts w:ascii="Arial" w:hAnsi="Arial" w:cs="Arial"/>
          <w:color w:val="000000"/>
          <w:shd w:val="clear" w:color="auto" w:fill="FFFFFF"/>
        </w:rPr>
        <w:t> </w:t>
      </w:r>
      <w:r w:rsidRPr="00AF397D">
        <w:rPr>
          <w:rFonts w:ascii="Arial" w:hAnsi="Arial" w:cs="Arial"/>
          <w:color w:val="000000"/>
          <w:shd w:val="clear" w:color="auto" w:fill="FFFFFF"/>
        </w:rPr>
        <w:t xml:space="preserve">de la Ley 300 de 1996, quedará </w:t>
      </w:r>
      <w:proofErr w:type="gramStart"/>
      <w:r w:rsidRPr="00AF397D">
        <w:rPr>
          <w:rFonts w:ascii="Arial" w:hAnsi="Arial" w:cs="Arial"/>
          <w:color w:val="000000"/>
          <w:shd w:val="clear" w:color="auto" w:fill="FFFFFF"/>
        </w:rPr>
        <w:t>así :</w:t>
      </w:r>
      <w:proofErr w:type="gramEnd"/>
      <w:r w:rsidRPr="00AF397D">
        <w:rPr>
          <w:rStyle w:val="apple-converted-space"/>
          <w:rFonts w:ascii="Arial" w:hAnsi="Arial" w:cs="Arial"/>
          <w:color w:val="000000"/>
          <w:shd w:val="clear" w:color="auto" w:fill="FFFFFF"/>
        </w:rPr>
        <w:t> </w:t>
      </w:r>
      <w:r w:rsidRPr="00AF397D">
        <w:rPr>
          <w:rFonts w:ascii="Arial" w:hAnsi="Arial" w:cs="Arial"/>
          <w:i/>
          <w:iCs/>
          <w:color w:val="000000"/>
          <w:shd w:val="clear" w:color="auto" w:fill="FFFFFF"/>
        </w:rPr>
        <w:t>Registro Nacional de Turismo y recaudo de la contribución parafiscal para la promoción del turismo</w:t>
      </w:r>
      <w:r w:rsidRPr="00AF397D">
        <w:rPr>
          <w:rFonts w:ascii="Arial" w:hAnsi="Arial" w:cs="Arial"/>
          <w:color w:val="000000"/>
          <w:shd w:val="clear" w:color="auto" w:fill="FFFFFF"/>
        </w:rPr>
        <w:t xml:space="preserve">. El Ministerio de Comercio, Industria y Turismo, podrá delegar en las Cámaras de </w:t>
      </w:r>
      <w:r w:rsidRPr="00AF397D">
        <w:rPr>
          <w:rFonts w:ascii="Arial" w:hAnsi="Arial" w:cs="Arial"/>
          <w:color w:val="000000"/>
          <w:shd w:val="clear" w:color="auto" w:fill="FFFFFF"/>
        </w:rPr>
        <w:lastRenderedPageBreak/>
        <w:t>Comercio el Registro Nacional de Turismo, en el cual deberán inscribirse todos los prestadores de servicios turísticos contemplados en el artículo 12 de esta ley, que efectúen sus operaciones en Colombia y el recaudo de la contribución parafiscal de que trata el artículo 1 de la presente ley. El Ministerio de Comercio, Industria y Turismo determinará la remuneración que las Cámaras de Comercio percibirán por concepto de dicho recaudo.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1</w:t>
      </w:r>
      <w:r w:rsidRPr="00AF397D">
        <w:rPr>
          <w:rFonts w:ascii="Arial" w:hAnsi="Arial" w:cs="Arial"/>
          <w:color w:val="000000"/>
          <w:shd w:val="clear" w:color="auto" w:fill="FFFFFF"/>
        </w:rPr>
        <w:t>°. Las Cámaras de Comercio, para los fines señalados en el inciso anterior, deberán garantizar un esquema uniforme de recaudo y un Registro Único Nacional, verificar los requisitos previos a la inscripción o renovación del registro y disponer de un sistema de información en línea para el Ministerio de Comercio, Industria y Turismo. Para el cumplimiento de las obligaciones de esta delegación las Cámaras de Comercio aplicarán el mismo régimen contractual que rige para la función del Registro Mercantil.</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2</w:t>
      </w:r>
      <w:r w:rsidRPr="00AF397D">
        <w:rPr>
          <w:rFonts w:ascii="Arial" w:hAnsi="Arial" w:cs="Arial"/>
          <w:color w:val="000000"/>
          <w:shd w:val="clear" w:color="auto" w:fill="FFFFFF"/>
        </w:rPr>
        <w:t>°. </w:t>
      </w:r>
      <w:r w:rsidRPr="00AF397D">
        <w:rPr>
          <w:rStyle w:val="Textoennegrita"/>
          <w:rFonts w:ascii="Arial" w:hAnsi="Arial" w:cs="Arial"/>
          <w:color w:val="000000"/>
          <w:shd w:val="clear" w:color="auto" w:fill="FFFFFF"/>
        </w:rPr>
        <w:t>Declarado Exequible mediante Sentencia de la Corte Constitucional C-263 de fecha 06 de abril de 2011</w:t>
      </w:r>
      <w:r w:rsidRPr="00AF397D">
        <w:rPr>
          <w:rFonts w:ascii="Arial" w:hAnsi="Arial" w:cs="Arial"/>
          <w:color w:val="000000"/>
          <w:shd w:val="clear" w:color="auto" w:fill="FFFFFF"/>
        </w:rPr>
        <w:t>. La obtención del Registro será requisito previo y obligatorio para el funcionamiento de los establecimientos turísticos.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3</w:t>
      </w:r>
      <w:r w:rsidRPr="00AF397D">
        <w:rPr>
          <w:rFonts w:ascii="Arial" w:hAnsi="Arial" w:cs="Arial"/>
          <w:color w:val="000000"/>
          <w:shd w:val="clear" w:color="auto" w:fill="FFFFFF"/>
        </w:rPr>
        <w:t>°. El Ministerio de Comercio, Industria y Turismo, establecerá las condiciones y requisitos necesarios para la inscripción y actualización del Registro Nacional de Turismo y las demás condiciones para el ejercicio de la función por parte de las cámaras de comercio.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4</w:t>
      </w:r>
      <w:r w:rsidRPr="00AF397D">
        <w:rPr>
          <w:rFonts w:ascii="Arial" w:hAnsi="Arial" w:cs="Arial"/>
          <w:color w:val="000000"/>
          <w:shd w:val="clear" w:color="auto" w:fill="FFFFFF"/>
        </w:rPr>
        <w:t>°. El Ministerio de Comercio, Industria y Turismo establecerá las tarifas del Registro Nacional de Turismo en los términos del artículo 338 de la Constitución Política. Para estos fines los costos recuperables son los necesarios para gestionar el recaudo, actualización y conservación de la información que soporta el Registro.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Transitorio.</w:t>
      </w:r>
      <w:r w:rsidRPr="00AF397D">
        <w:rPr>
          <w:rStyle w:val="apple-converted-space"/>
          <w:rFonts w:ascii="Arial" w:hAnsi="Arial" w:cs="Arial"/>
          <w:color w:val="000000"/>
          <w:shd w:val="clear" w:color="auto" w:fill="FFFFFF"/>
        </w:rPr>
        <w:t> </w:t>
      </w:r>
      <w:r w:rsidRPr="00AF397D">
        <w:rPr>
          <w:rFonts w:ascii="Arial" w:hAnsi="Arial" w:cs="Arial"/>
          <w:color w:val="000000"/>
          <w:shd w:val="clear" w:color="auto" w:fill="FFFFFF"/>
        </w:rPr>
        <w:t xml:space="preserve">La actual entidad administradora del Fondo de Promoción Turística continuará recaudando la contribución parafiscal para la promoción del tu </w:t>
      </w:r>
      <w:proofErr w:type="spellStart"/>
      <w:r w:rsidRPr="00AF397D">
        <w:rPr>
          <w:rFonts w:ascii="Arial" w:hAnsi="Arial" w:cs="Arial"/>
          <w:color w:val="000000"/>
          <w:shd w:val="clear" w:color="auto" w:fill="FFFFFF"/>
        </w:rPr>
        <w:t>rismo</w:t>
      </w:r>
      <w:proofErr w:type="spellEnd"/>
      <w:r w:rsidRPr="00AF397D">
        <w:rPr>
          <w:rFonts w:ascii="Arial" w:hAnsi="Arial" w:cs="Arial"/>
          <w:color w:val="000000"/>
          <w:shd w:val="clear" w:color="auto" w:fill="FFFFFF"/>
        </w:rPr>
        <w:t xml:space="preserve"> hasta cuando el Ministerio de Comercio, Industria y Turismo, expida la reglamentación correspondiente.</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w:t>
      </w:r>
      <w:bookmarkStart w:id="12" w:name="14"/>
      <w:r w:rsidRPr="00AF397D">
        <w:rPr>
          <w:rFonts w:ascii="Arial" w:hAnsi="Arial" w:cs="Arial"/>
          <w:b/>
          <w:bCs/>
          <w:color w:val="000000"/>
          <w:shd w:val="clear" w:color="auto" w:fill="FFFFFF"/>
        </w:rPr>
        <w:t> </w:t>
      </w:r>
      <w:bookmarkEnd w:id="12"/>
      <w:r w:rsidRPr="00AF397D">
        <w:rPr>
          <w:rFonts w:ascii="Arial" w:hAnsi="Arial" w:cs="Arial"/>
          <w:b/>
          <w:bCs/>
          <w:color w:val="000000"/>
          <w:shd w:val="clear" w:color="auto" w:fill="FFFFFF"/>
        </w:rPr>
        <w:t>14.</w:t>
      </w:r>
      <w:r w:rsidRPr="00AF397D">
        <w:rPr>
          <w:rStyle w:val="apple-converted-space"/>
          <w:rFonts w:ascii="Arial" w:hAnsi="Arial" w:cs="Arial"/>
          <w:b/>
          <w:bCs/>
          <w:color w:val="000000"/>
          <w:shd w:val="clear" w:color="auto" w:fill="FFFFFF"/>
        </w:rPr>
        <w:t> </w:t>
      </w:r>
      <w:r w:rsidRPr="00AF397D">
        <w:rPr>
          <w:rFonts w:ascii="Arial" w:hAnsi="Arial" w:cs="Arial"/>
          <w:color w:val="000000"/>
          <w:shd w:val="clear" w:color="auto" w:fill="FFFFFF"/>
        </w:rPr>
        <w:t>El inciso 1° del artículo</w:t>
      </w:r>
      <w:r w:rsidRPr="00AF397D">
        <w:rPr>
          <w:rStyle w:val="apple-converted-space"/>
          <w:rFonts w:ascii="Arial" w:hAnsi="Arial" w:cs="Arial"/>
          <w:color w:val="000000"/>
          <w:shd w:val="clear" w:color="auto" w:fill="FFFFFF"/>
        </w:rPr>
        <w:t> </w:t>
      </w:r>
      <w:hyperlink r:id="rId22" w:anchor="39" w:history="1">
        <w:r w:rsidRPr="00AF397D">
          <w:rPr>
            <w:rStyle w:val="Hipervnculo"/>
            <w:rFonts w:ascii="Arial" w:hAnsi="Arial" w:cs="Arial"/>
            <w:shd w:val="clear" w:color="auto" w:fill="FFFFFF"/>
          </w:rPr>
          <w:t>39</w:t>
        </w:r>
      </w:hyperlink>
      <w:r w:rsidRPr="00AF397D">
        <w:rPr>
          <w:rStyle w:val="apple-converted-space"/>
          <w:rFonts w:ascii="Arial" w:hAnsi="Arial" w:cs="Arial"/>
          <w:color w:val="000000"/>
          <w:shd w:val="clear" w:color="auto" w:fill="FFFFFF"/>
        </w:rPr>
        <w:t> </w:t>
      </w:r>
      <w:r w:rsidRPr="00AF397D">
        <w:rPr>
          <w:rFonts w:ascii="Arial" w:hAnsi="Arial" w:cs="Arial"/>
          <w:color w:val="000000"/>
          <w:shd w:val="clear" w:color="auto" w:fill="FFFFFF"/>
        </w:rPr>
        <w:t>de la Ley 300 de 1996, quedará así:</w:t>
      </w:r>
      <w:r w:rsidRPr="00AF397D">
        <w:rPr>
          <w:rStyle w:val="apple-converted-space"/>
          <w:rFonts w:ascii="Arial" w:hAnsi="Arial" w:cs="Arial"/>
          <w:color w:val="000000"/>
          <w:shd w:val="clear" w:color="auto" w:fill="FFFFFF"/>
        </w:rPr>
        <w:t> </w:t>
      </w:r>
      <w:r w:rsidRPr="00AF397D">
        <w:rPr>
          <w:rFonts w:ascii="Arial" w:hAnsi="Arial" w:cs="Arial"/>
          <w:i/>
          <w:iCs/>
          <w:color w:val="000000"/>
          <w:shd w:val="clear" w:color="auto" w:fill="FFFFFF"/>
        </w:rPr>
        <w:t>Fomento a la actividad turística</w:t>
      </w:r>
      <w:r w:rsidRPr="00AF397D">
        <w:rPr>
          <w:rFonts w:ascii="Arial" w:hAnsi="Arial" w:cs="Arial"/>
          <w:color w:val="000000"/>
          <w:shd w:val="clear" w:color="auto" w:fill="FFFFFF"/>
        </w:rPr>
        <w:t>. La Dirección de Impuestos y Aduanas Nacionales, DIAN, devolverá a los turistas extranjeros en el país el ciento por ciento (100%) del impuesto sobre las ventas que cancelen por las compras de bienes gravados en el territorio nacional. El Gobierno reglamentará la materia.</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El Gobierno implementará reglamentariamente mecanismos operativos que aseguren la devolución efectiva e inmediata del IVA de que trata este artículo.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15.</w:t>
      </w:r>
      <w:r w:rsidRPr="00AF397D">
        <w:rPr>
          <w:rStyle w:val="apple-converted-space"/>
          <w:rFonts w:ascii="Arial" w:hAnsi="Arial" w:cs="Arial"/>
          <w:b/>
          <w:bCs/>
          <w:color w:val="000000"/>
          <w:shd w:val="clear" w:color="auto" w:fill="FFFFFF"/>
        </w:rPr>
        <w:t> </w:t>
      </w:r>
      <w:r w:rsidRPr="00AF397D">
        <w:rPr>
          <w:rFonts w:ascii="Arial" w:hAnsi="Arial" w:cs="Arial"/>
          <w:i/>
          <w:iCs/>
          <w:color w:val="000000"/>
          <w:shd w:val="clear" w:color="auto" w:fill="FFFFFF"/>
        </w:rPr>
        <w:t>Tasa compensada</w:t>
      </w:r>
      <w:r w:rsidRPr="00AF397D">
        <w:rPr>
          <w:rFonts w:ascii="Arial" w:hAnsi="Arial" w:cs="Arial"/>
          <w:color w:val="000000"/>
          <w:shd w:val="clear" w:color="auto" w:fill="FFFFFF"/>
        </w:rPr>
        <w:t xml:space="preserve">. </w:t>
      </w:r>
      <w:proofErr w:type="spellStart"/>
      <w:r w:rsidRPr="00AF397D">
        <w:rPr>
          <w:rFonts w:ascii="Arial" w:hAnsi="Arial" w:cs="Arial"/>
          <w:color w:val="000000"/>
          <w:shd w:val="clear" w:color="auto" w:fill="FFFFFF"/>
        </w:rPr>
        <w:t>Findeter</w:t>
      </w:r>
      <w:proofErr w:type="spellEnd"/>
      <w:r w:rsidRPr="00AF397D">
        <w:rPr>
          <w:rFonts w:ascii="Arial" w:hAnsi="Arial" w:cs="Arial"/>
          <w:color w:val="000000"/>
          <w:shd w:val="clear" w:color="auto" w:fill="FFFFFF"/>
        </w:rPr>
        <w:t xml:space="preserve"> podrá realizar operaciones para la financiación de proyectos, inversiones, o actividades relacionadas con el sector </w:t>
      </w:r>
      <w:r w:rsidRPr="00AF397D">
        <w:rPr>
          <w:rFonts w:ascii="Arial" w:hAnsi="Arial" w:cs="Arial"/>
          <w:color w:val="000000"/>
          <w:shd w:val="clear" w:color="auto" w:fill="FFFFFF"/>
        </w:rPr>
        <w:lastRenderedPageBreak/>
        <w:t>turismo, aplicando tasas compensadas siempre y cuando los recursos equivalentes al monto del subsidio provengan de la Nación, entidades públicas del orden nacional, entidades territoriales, o sus descentralizadas, organismos internacionales, organismos no gubernamentales, corporaciones regionales, fondos nacionales o regionales, asociaciones o agremiaciones sectoriales públicas o privadas entre otros, o destinando parte de sus utilidades para tal fin.</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w:t>
      </w:r>
      <w:bookmarkStart w:id="13" w:name="16"/>
      <w:r w:rsidRPr="00AF397D">
        <w:rPr>
          <w:rFonts w:ascii="Arial" w:hAnsi="Arial" w:cs="Arial"/>
          <w:b/>
          <w:bCs/>
          <w:color w:val="000000"/>
          <w:shd w:val="clear" w:color="auto" w:fill="FFFFFF"/>
        </w:rPr>
        <w:t> </w:t>
      </w:r>
      <w:bookmarkEnd w:id="13"/>
      <w:r w:rsidRPr="00AF397D">
        <w:rPr>
          <w:rFonts w:ascii="Arial" w:hAnsi="Arial" w:cs="Arial"/>
          <w:b/>
          <w:bCs/>
          <w:color w:val="000000"/>
          <w:shd w:val="clear" w:color="auto" w:fill="FFFFFF"/>
        </w:rPr>
        <w:t>16.</w:t>
      </w:r>
      <w:r w:rsidRPr="00AF397D">
        <w:rPr>
          <w:rStyle w:val="apple-converted-space"/>
          <w:rFonts w:ascii="Arial" w:hAnsi="Arial" w:cs="Arial"/>
          <w:b/>
          <w:bCs/>
          <w:color w:val="000000"/>
          <w:shd w:val="clear" w:color="auto" w:fill="FFFFFF"/>
        </w:rPr>
        <w:t> </w:t>
      </w:r>
      <w:r w:rsidRPr="00AF397D">
        <w:rPr>
          <w:rFonts w:ascii="Arial" w:hAnsi="Arial" w:cs="Arial"/>
          <w:i/>
          <w:iCs/>
          <w:color w:val="000000"/>
          <w:shd w:val="clear" w:color="auto" w:fill="FFFFFF"/>
        </w:rPr>
        <w:t>Incentivos tributarios</w:t>
      </w:r>
      <w:r w:rsidRPr="00AF397D">
        <w:rPr>
          <w:rFonts w:ascii="Arial" w:hAnsi="Arial" w:cs="Arial"/>
          <w:color w:val="000000"/>
          <w:shd w:val="clear" w:color="auto" w:fill="FFFFFF"/>
        </w:rPr>
        <w:t>. </w:t>
      </w:r>
      <w:hyperlink r:id="rId23" w:anchor="18" w:history="1">
        <w:r w:rsidRPr="00AF397D">
          <w:rPr>
            <w:rStyle w:val="Hipervnculo"/>
            <w:rFonts w:ascii="Arial" w:hAnsi="Arial" w:cs="Arial"/>
            <w:shd w:val="clear" w:color="auto" w:fill="FFFFFF"/>
          </w:rPr>
          <w:t>Modificado por el art. 18, Ley 1558 de 2012</w:t>
        </w:r>
      </w:hyperlink>
      <w:r w:rsidRPr="00AF397D">
        <w:rPr>
          <w:rFonts w:ascii="Arial" w:hAnsi="Arial" w:cs="Arial"/>
          <w:color w:val="000000"/>
          <w:shd w:val="clear" w:color="auto" w:fill="FFFFFF"/>
        </w:rPr>
        <w:t>. Únicamente los prestadores de servicios turísticos debidamente inscritos en el Registro Nacional de Turismo podrán ser beneficiarios de los incentivos tributarios consagrados a su favor. La omisión de la actualización del Registro Nacional de Turismo, así como el incumplimiento en el pago de la contribución parafiscal, producirá la pérdida del incentivo tributario correspondiente al año fiscal en el cual se presente la omisión o incumplimiento.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17.</w:t>
      </w:r>
      <w:r w:rsidRPr="00AF397D">
        <w:rPr>
          <w:rStyle w:val="apple-converted-space"/>
          <w:rFonts w:ascii="Arial" w:hAnsi="Arial" w:cs="Arial"/>
          <w:b/>
          <w:bCs/>
          <w:color w:val="000000"/>
          <w:shd w:val="clear" w:color="auto" w:fill="FFFFFF"/>
        </w:rPr>
        <w:t> </w:t>
      </w:r>
      <w:r w:rsidRPr="00AF397D">
        <w:rPr>
          <w:rFonts w:ascii="Arial" w:hAnsi="Arial" w:cs="Arial"/>
          <w:i/>
          <w:iCs/>
          <w:color w:val="000000"/>
          <w:shd w:val="clear" w:color="auto" w:fill="FFFFFF"/>
        </w:rPr>
        <w:t>Promoción del patrimonio histórico y cultural</w:t>
      </w:r>
      <w:r w:rsidRPr="00AF397D">
        <w:rPr>
          <w:rFonts w:ascii="Arial" w:hAnsi="Arial" w:cs="Arial"/>
          <w:color w:val="000000"/>
          <w:shd w:val="clear" w:color="auto" w:fill="FFFFFF"/>
        </w:rPr>
        <w:t xml:space="preserve">. La Política de Turismo que diseñe el Ministerio de Comercio, Industria y Turismo deberá contener un plan específico y prioritario de proyectos de promoción y mercadeo relacionados con los sitios en Colombia, declarados por la Une </w:t>
      </w:r>
      <w:proofErr w:type="spellStart"/>
      <w:r w:rsidRPr="00AF397D">
        <w:rPr>
          <w:rFonts w:ascii="Arial" w:hAnsi="Arial" w:cs="Arial"/>
          <w:color w:val="000000"/>
          <w:shd w:val="clear" w:color="auto" w:fill="FFFFFF"/>
        </w:rPr>
        <w:t>sco</w:t>
      </w:r>
      <w:proofErr w:type="spellEnd"/>
      <w:r w:rsidRPr="00AF397D">
        <w:rPr>
          <w:rFonts w:ascii="Arial" w:hAnsi="Arial" w:cs="Arial"/>
          <w:color w:val="000000"/>
          <w:shd w:val="clear" w:color="auto" w:fill="FFFFFF"/>
        </w:rPr>
        <w:t xml:space="preserve"> como "Patrimonio Mundial de la Humanidad cultural o natural".</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18.</w:t>
      </w:r>
      <w:r w:rsidRPr="00AF397D">
        <w:rPr>
          <w:rStyle w:val="apple-converted-space"/>
          <w:rFonts w:ascii="Arial" w:hAnsi="Arial" w:cs="Arial"/>
          <w:b/>
          <w:bCs/>
          <w:color w:val="000000"/>
          <w:shd w:val="clear" w:color="auto" w:fill="FFFFFF"/>
        </w:rPr>
        <w:t> </w:t>
      </w:r>
      <w:r w:rsidRPr="00AF397D">
        <w:rPr>
          <w:rFonts w:ascii="Arial" w:hAnsi="Arial" w:cs="Arial"/>
          <w:i/>
          <w:iCs/>
          <w:color w:val="000000"/>
          <w:shd w:val="clear" w:color="auto" w:fill="FFFFFF"/>
        </w:rPr>
        <w:t>Banco de proyectos turísticos</w:t>
      </w:r>
      <w:r w:rsidRPr="00AF397D">
        <w:rPr>
          <w:rFonts w:ascii="Arial" w:hAnsi="Arial" w:cs="Arial"/>
          <w:color w:val="000000"/>
          <w:shd w:val="clear" w:color="auto" w:fill="FFFFFF"/>
        </w:rPr>
        <w:t>. Como parte de la Política de Turismo créase el Banco de Proyectos Turísticos en el cual, para cada vigencia anual, deben inscribirse los proyectos de las Entidades Territoriales respecto de los cuales se demanden recursos para promoción provenientes de las fuentes fiscales previstas en esta ley, o del Presupuesto General de la Nación. Para la inscripción de los proyectos respectivos y la asignación de los recursos se tendrán en cuenta las siguientes reglas: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 xml:space="preserve">1. Los proyectos serán incluidos en el Banco mediante decisión expresa del Comité Directivo del Fondo de Promoción Turística, previa solicitud de las Entidades Territoriales y entes particulares </w:t>
      </w:r>
      <w:proofErr w:type="spellStart"/>
      <w:r w:rsidRPr="00AF397D">
        <w:rPr>
          <w:rFonts w:ascii="Arial" w:hAnsi="Arial" w:cs="Arial"/>
          <w:color w:val="000000"/>
          <w:shd w:val="clear" w:color="auto" w:fill="FFFFFF"/>
        </w:rPr>
        <w:t>aportantes</w:t>
      </w:r>
      <w:proofErr w:type="spellEnd"/>
      <w:r w:rsidRPr="00AF397D">
        <w:rPr>
          <w:rFonts w:ascii="Arial" w:hAnsi="Arial" w:cs="Arial"/>
          <w:color w:val="000000"/>
          <w:shd w:val="clear" w:color="auto" w:fill="FFFFFF"/>
        </w:rPr>
        <w:t>.</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2. Los aportes se efectuarán sobre la base de cofinanciación con las entidades territoriales.</w:t>
      </w:r>
    </w:p>
    <w:p w:rsidR="00AF397D" w:rsidRPr="00AF397D" w:rsidRDefault="00AF397D" w:rsidP="00AF397D">
      <w:pPr>
        <w:pStyle w:val="NormalWeb"/>
        <w:rPr>
          <w:rFonts w:ascii="Arial" w:hAnsi="Arial" w:cs="Arial"/>
          <w:color w:val="000000"/>
          <w:shd w:val="clear" w:color="auto" w:fill="FFFFFF"/>
        </w:rPr>
      </w:pPr>
      <w:bookmarkStart w:id="14" w:name="18.3"/>
      <w:r w:rsidRPr="00AF397D">
        <w:rPr>
          <w:rFonts w:ascii="Arial" w:hAnsi="Arial" w:cs="Arial"/>
          <w:color w:val="000000"/>
          <w:shd w:val="clear" w:color="auto" w:fill="FFFFFF"/>
        </w:rPr>
        <w:t> </w:t>
      </w:r>
      <w:bookmarkEnd w:id="14"/>
      <w:r w:rsidRPr="00AF397D">
        <w:rPr>
          <w:rFonts w:ascii="Arial" w:hAnsi="Arial" w:cs="Arial"/>
          <w:color w:val="000000"/>
          <w:shd w:val="clear" w:color="auto" w:fill="FFFFFF"/>
        </w:rPr>
        <w:t>3. En ningún caso se autorizará una cofinanciación superior al 50% del respectivo proyecto.</w:t>
      </w:r>
      <w:r w:rsidRPr="00AF397D">
        <w:rPr>
          <w:rStyle w:val="apple-converted-space"/>
          <w:rFonts w:ascii="Arial" w:hAnsi="Arial" w:cs="Arial"/>
          <w:color w:val="000000"/>
          <w:shd w:val="clear" w:color="auto" w:fill="FFFFFF"/>
        </w:rPr>
        <w:t> </w:t>
      </w:r>
      <w:hyperlink r:id="rId24" w:anchor="23" w:history="1">
        <w:r w:rsidRPr="00AF397D">
          <w:rPr>
            <w:rStyle w:val="Hipervnculo"/>
            <w:rFonts w:ascii="Arial" w:hAnsi="Arial" w:cs="Arial"/>
            <w:shd w:val="clear" w:color="auto" w:fill="FFFFFF"/>
          </w:rPr>
          <w:t>Adicionado por el art. 23, Ley 1558 de 2012</w:t>
        </w:r>
      </w:hyperlink>
      <w:r w:rsidRPr="00AF397D">
        <w:rPr>
          <w:rFonts w:ascii="Arial" w:hAnsi="Arial" w:cs="Arial"/>
          <w:color w:val="000000"/>
          <w:shd w:val="clear" w:color="auto" w:fill="FFFFFF"/>
        </w:rPr>
        <w:t>.</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4. Ningún proyecto recibirá recursos en cuantía superior al 10% de los recursos destinados para el Banco de Proyectos Turísticos en la respectiva anualidad.</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t>5. En la asignación de los recursos se tendrá en cuenta la optimización de las ventajas competitivas de los distintos destinos turísticos y la promoción equilibrada entre las entidades territoriales.</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color w:val="000000"/>
          <w:shd w:val="clear" w:color="auto" w:fill="FFFFFF"/>
        </w:rPr>
        <w:lastRenderedPageBreak/>
        <w:t>6. Para el Banco de Proyectos Turísticos se destinará no menos del 20% ni más del 50% de los recursos a que hace referencia este artículo.</w:t>
      </w:r>
    </w:p>
    <w:p w:rsidR="00AF397D" w:rsidRPr="00AF397D" w:rsidRDefault="00AF397D" w:rsidP="00AF397D">
      <w:pPr>
        <w:pStyle w:val="NormalWeb"/>
        <w:rPr>
          <w:rFonts w:ascii="Arial" w:hAnsi="Arial" w:cs="Arial"/>
          <w:color w:val="000000"/>
          <w:shd w:val="clear" w:color="auto" w:fill="FFFFFF"/>
        </w:rPr>
      </w:pPr>
      <w:bookmarkStart w:id="15" w:name="18.7"/>
      <w:r w:rsidRPr="00AF397D">
        <w:rPr>
          <w:rFonts w:ascii="Arial" w:hAnsi="Arial" w:cs="Arial"/>
          <w:color w:val="000000"/>
          <w:shd w:val="clear" w:color="auto" w:fill="FFFFFF"/>
        </w:rPr>
        <w:t> </w:t>
      </w:r>
      <w:bookmarkEnd w:id="15"/>
      <w:r w:rsidRPr="00AF397D">
        <w:rPr>
          <w:rFonts w:ascii="Arial" w:hAnsi="Arial" w:cs="Arial"/>
          <w:color w:val="000000"/>
          <w:shd w:val="clear" w:color="auto" w:fill="FFFFFF"/>
        </w:rPr>
        <w:t>7.</w:t>
      </w:r>
      <w:r w:rsidRPr="00AF397D">
        <w:rPr>
          <w:rStyle w:val="apple-converted-space"/>
          <w:rFonts w:ascii="Arial" w:hAnsi="Arial" w:cs="Arial"/>
          <w:color w:val="000000"/>
          <w:shd w:val="clear" w:color="auto" w:fill="FFFFFF"/>
        </w:rPr>
        <w:t> </w:t>
      </w:r>
      <w:hyperlink r:id="rId25" w:anchor="23" w:history="1">
        <w:r w:rsidRPr="00AF397D">
          <w:rPr>
            <w:rStyle w:val="Hipervnculo"/>
            <w:rFonts w:ascii="Arial" w:hAnsi="Arial" w:cs="Arial"/>
            <w:shd w:val="clear" w:color="auto" w:fill="FFFFFF"/>
          </w:rPr>
          <w:t>Adicionado por el art. 23, Ley 1558 de 2012</w:t>
        </w:r>
      </w:hyperlink>
      <w:r w:rsidRPr="00AF397D">
        <w:rPr>
          <w:rFonts w:ascii="Arial" w:hAnsi="Arial" w:cs="Arial"/>
          <w:color w:val="000000"/>
          <w:shd w:val="clear" w:color="auto" w:fill="FFFFFF"/>
        </w:rPr>
        <w:t>.</w:t>
      </w:r>
    </w:p>
    <w:p w:rsidR="00AF397D" w:rsidRPr="00AF397D" w:rsidRDefault="00AF397D" w:rsidP="00AF397D">
      <w:pPr>
        <w:pStyle w:val="NormalWeb"/>
        <w:rPr>
          <w:rFonts w:ascii="Arial" w:hAnsi="Arial" w:cs="Arial"/>
          <w:color w:val="000000"/>
          <w:shd w:val="clear" w:color="auto" w:fill="FFFFFF"/>
        </w:rPr>
      </w:pPr>
      <w:bookmarkStart w:id="16" w:name="18.P.1"/>
      <w:r w:rsidRPr="00AF397D">
        <w:rPr>
          <w:rFonts w:ascii="Arial" w:hAnsi="Arial" w:cs="Arial"/>
          <w:b/>
          <w:bCs/>
          <w:color w:val="000000"/>
          <w:shd w:val="clear" w:color="auto" w:fill="FFFFFF"/>
        </w:rPr>
        <w:t> </w:t>
      </w:r>
      <w:bookmarkEnd w:id="16"/>
      <w:r w:rsidRPr="00AF397D">
        <w:rPr>
          <w:rFonts w:ascii="Arial" w:hAnsi="Arial" w:cs="Arial"/>
          <w:b/>
          <w:bCs/>
          <w:color w:val="000000"/>
          <w:shd w:val="clear" w:color="auto" w:fill="FFFFFF"/>
        </w:rPr>
        <w:t>Parágrafo 1</w:t>
      </w:r>
      <w:r w:rsidRPr="00AF397D">
        <w:rPr>
          <w:rFonts w:ascii="Arial" w:hAnsi="Arial" w:cs="Arial"/>
          <w:color w:val="000000"/>
          <w:shd w:val="clear" w:color="auto" w:fill="FFFFFF"/>
        </w:rPr>
        <w:t>°. </w:t>
      </w:r>
      <w:hyperlink r:id="rId26" w:anchor="23" w:history="1">
        <w:r w:rsidRPr="00AF397D">
          <w:rPr>
            <w:rStyle w:val="Hipervnculo"/>
            <w:rFonts w:ascii="Arial" w:hAnsi="Arial" w:cs="Arial"/>
            <w:shd w:val="clear" w:color="auto" w:fill="FFFFFF"/>
          </w:rPr>
          <w:t>Modificado por el art. 23, Ley 1558 de 2012</w:t>
        </w:r>
      </w:hyperlink>
      <w:r w:rsidRPr="00AF397D">
        <w:rPr>
          <w:rFonts w:ascii="Arial" w:hAnsi="Arial" w:cs="Arial"/>
          <w:color w:val="000000"/>
          <w:shd w:val="clear" w:color="auto" w:fill="FFFFFF"/>
        </w:rPr>
        <w:t xml:space="preserve">. Los proyectos provenientes de los Departamentos del Guaviare, Vaupés, Putumayo, Amazonas, Vichada, Caquetá, Guainía y el Chocó </w:t>
      </w:r>
      <w:proofErr w:type="spellStart"/>
      <w:r w:rsidRPr="00AF397D">
        <w:rPr>
          <w:rFonts w:ascii="Arial" w:hAnsi="Arial" w:cs="Arial"/>
          <w:color w:val="000000"/>
          <w:shd w:val="clear" w:color="auto" w:fill="FFFFFF"/>
        </w:rPr>
        <w:t>biogeográfico</w:t>
      </w:r>
      <w:proofErr w:type="spellEnd"/>
      <w:r w:rsidRPr="00AF397D">
        <w:rPr>
          <w:rFonts w:ascii="Arial" w:hAnsi="Arial" w:cs="Arial"/>
          <w:color w:val="000000"/>
          <w:shd w:val="clear" w:color="auto" w:fill="FFFFFF"/>
        </w:rPr>
        <w:t xml:space="preserve"> por poseer y comprometerse a preservar su rica biodiversidad, quedan excluidos de los aportes de cofinanciación de que tratan los numerales 2 y 3 del presente artículo.</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Parágrafo 2</w:t>
      </w:r>
      <w:r w:rsidRPr="00AF397D">
        <w:rPr>
          <w:rFonts w:ascii="Arial" w:hAnsi="Arial" w:cs="Arial"/>
          <w:color w:val="000000"/>
          <w:shd w:val="clear" w:color="auto" w:fill="FFFFFF"/>
        </w:rPr>
        <w:t>°. Dentro de la destinación general de los recursos a los que se refiere este artículo, se tendrá en cuenta una asignación especial para el evento descrito en el artículo 110 de la Ley 300 de 1996.</w:t>
      </w:r>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w:t>
      </w:r>
      <w:bookmarkStart w:id="17" w:name="19"/>
      <w:r w:rsidRPr="00AF397D">
        <w:rPr>
          <w:rFonts w:ascii="Arial" w:hAnsi="Arial" w:cs="Arial"/>
          <w:b/>
          <w:bCs/>
          <w:color w:val="000000"/>
          <w:shd w:val="clear" w:color="auto" w:fill="FFFFFF"/>
        </w:rPr>
        <w:t> </w:t>
      </w:r>
      <w:bookmarkEnd w:id="17"/>
      <w:r w:rsidRPr="00AF397D">
        <w:rPr>
          <w:rFonts w:ascii="Arial" w:hAnsi="Arial" w:cs="Arial"/>
          <w:b/>
          <w:bCs/>
          <w:color w:val="000000"/>
          <w:shd w:val="clear" w:color="auto" w:fill="FFFFFF"/>
        </w:rPr>
        <w:t>19.</w:t>
      </w:r>
      <w:r w:rsidRPr="00AF397D">
        <w:rPr>
          <w:rStyle w:val="apple-converted-space"/>
          <w:rFonts w:ascii="Arial" w:hAnsi="Arial" w:cs="Arial"/>
          <w:b/>
          <w:bCs/>
          <w:color w:val="000000"/>
          <w:shd w:val="clear" w:color="auto" w:fill="FFFFFF"/>
        </w:rPr>
        <w:t> </w:t>
      </w:r>
      <w:r w:rsidRPr="00AF397D">
        <w:rPr>
          <w:rFonts w:ascii="Arial" w:hAnsi="Arial" w:cs="Arial"/>
          <w:i/>
          <w:iCs/>
          <w:color w:val="000000"/>
          <w:shd w:val="clear" w:color="auto" w:fill="FFFFFF"/>
        </w:rPr>
        <w:t>Reglamentación</w:t>
      </w:r>
      <w:r w:rsidRPr="00AF397D">
        <w:rPr>
          <w:rFonts w:ascii="Arial" w:hAnsi="Arial" w:cs="Arial"/>
          <w:color w:val="000000"/>
          <w:shd w:val="clear" w:color="auto" w:fill="FFFFFF"/>
        </w:rPr>
        <w:t>. El Gobierno Nacional, a través del Ministerio de Comercio, Industria y Turismo, reglamentará esta ley</w:t>
      </w:r>
      <w:r w:rsidRPr="00AF397D">
        <w:rPr>
          <w:rStyle w:val="apple-converted-space"/>
          <w:rFonts w:ascii="Arial" w:hAnsi="Arial" w:cs="Arial"/>
          <w:color w:val="000000"/>
          <w:shd w:val="clear" w:color="auto" w:fill="FFFFFF"/>
        </w:rPr>
        <w:t> </w:t>
      </w:r>
      <w:r w:rsidRPr="00AF397D">
        <w:rPr>
          <w:rFonts w:ascii="Arial" w:hAnsi="Arial" w:cs="Arial"/>
          <w:color w:val="000000"/>
          <w:u w:val="single"/>
          <w:shd w:val="clear" w:color="auto" w:fill="FFFFFF"/>
        </w:rPr>
        <w:t>en un plazo no superior a seis (6) meses contados a partir de su entrada en vigencia</w:t>
      </w:r>
      <w:r w:rsidRPr="00AF397D">
        <w:rPr>
          <w:rFonts w:ascii="Arial" w:hAnsi="Arial" w:cs="Arial"/>
          <w:color w:val="000000"/>
          <w:shd w:val="clear" w:color="auto" w:fill="FFFFFF"/>
        </w:rPr>
        <w:t>.  </w:t>
      </w:r>
      <w:r w:rsidRPr="00AF397D">
        <w:rPr>
          <w:rStyle w:val="Textoennegrita"/>
          <w:rFonts w:ascii="Arial" w:hAnsi="Arial" w:cs="Arial"/>
          <w:color w:val="000000"/>
          <w:shd w:val="clear" w:color="auto" w:fill="FFFFFF"/>
        </w:rPr>
        <w:t>El texto subrayado fue declarado INEXEQUIBLE por la Corte Constitucional mediante Sentencia</w:t>
      </w:r>
      <w:r w:rsidRPr="00AF397D">
        <w:rPr>
          <w:rStyle w:val="apple-converted-space"/>
          <w:rFonts w:ascii="Arial" w:hAnsi="Arial" w:cs="Arial"/>
          <w:b/>
          <w:bCs/>
          <w:color w:val="000000"/>
          <w:shd w:val="clear" w:color="auto" w:fill="FFFFFF"/>
        </w:rPr>
        <w:t> </w:t>
      </w:r>
      <w:hyperlink r:id="rId27" w:anchor="0" w:history="1">
        <w:r w:rsidRPr="00AF397D">
          <w:rPr>
            <w:rStyle w:val="Hipervnculo"/>
            <w:rFonts w:ascii="Arial" w:hAnsi="Arial" w:cs="Arial"/>
            <w:shd w:val="clear" w:color="auto" w:fill="FFFFFF"/>
          </w:rPr>
          <w:t>C-1005</w:t>
        </w:r>
      </w:hyperlink>
      <w:r w:rsidRPr="00AF397D">
        <w:rPr>
          <w:rStyle w:val="apple-converted-space"/>
          <w:rFonts w:ascii="Arial" w:hAnsi="Arial" w:cs="Arial"/>
          <w:b/>
          <w:bCs/>
          <w:color w:val="000000"/>
          <w:shd w:val="clear" w:color="auto" w:fill="FFFFFF"/>
        </w:rPr>
        <w:t> </w:t>
      </w:r>
      <w:r w:rsidRPr="00AF397D">
        <w:rPr>
          <w:rStyle w:val="Textoennegrita"/>
          <w:rFonts w:ascii="Arial" w:hAnsi="Arial" w:cs="Arial"/>
          <w:color w:val="000000"/>
          <w:shd w:val="clear" w:color="auto" w:fill="FFFFFF"/>
        </w:rPr>
        <w:t>de 2008</w:t>
      </w:r>
      <w:r w:rsidRPr="00AF397D">
        <w:rPr>
          <w:rFonts w:ascii="Arial" w:hAnsi="Arial" w:cs="Arial"/>
          <w:color w:val="000000"/>
          <w:shd w:val="clear" w:color="auto" w:fill="FFFFFF"/>
        </w:rPr>
        <w:t>.</w:t>
      </w:r>
    </w:p>
    <w:p w:rsidR="00AF397D" w:rsidRPr="00AF397D" w:rsidRDefault="00AF397D" w:rsidP="00AF397D">
      <w:pPr>
        <w:pStyle w:val="NormalWeb"/>
        <w:rPr>
          <w:rFonts w:ascii="Arial" w:hAnsi="Arial" w:cs="Arial"/>
          <w:color w:val="000000"/>
          <w:shd w:val="clear" w:color="auto" w:fill="FFFFFF"/>
        </w:rPr>
      </w:pPr>
      <w:hyperlink r:id="rId28" w:anchor="0" w:history="1">
        <w:r w:rsidRPr="00AF397D">
          <w:rPr>
            <w:rStyle w:val="Hipervnculo"/>
            <w:rFonts w:ascii="Arial" w:hAnsi="Arial" w:cs="Arial"/>
            <w:shd w:val="clear" w:color="auto" w:fill="FFFFFF"/>
          </w:rPr>
          <w:t>Ver el Decreto Nacional 1782 de 2007</w:t>
        </w:r>
      </w:hyperlink>
    </w:p>
    <w:p w:rsidR="00AF397D" w:rsidRPr="00AF397D" w:rsidRDefault="00AF397D" w:rsidP="00AF397D">
      <w:pPr>
        <w:pStyle w:val="NormalWeb"/>
        <w:rPr>
          <w:rFonts w:ascii="Arial" w:hAnsi="Arial" w:cs="Arial"/>
          <w:color w:val="000000"/>
          <w:shd w:val="clear" w:color="auto" w:fill="FFFFFF"/>
        </w:rPr>
      </w:pPr>
      <w:r w:rsidRPr="00AF397D">
        <w:rPr>
          <w:rFonts w:ascii="Arial" w:hAnsi="Arial" w:cs="Arial"/>
          <w:b/>
          <w:bCs/>
          <w:color w:val="000000"/>
          <w:shd w:val="clear" w:color="auto" w:fill="FFFFFF"/>
        </w:rPr>
        <w:t>Artículo </w:t>
      </w:r>
      <w:bookmarkStart w:id="18" w:name="20"/>
      <w:r w:rsidRPr="00AF397D">
        <w:rPr>
          <w:rFonts w:ascii="Arial" w:hAnsi="Arial" w:cs="Arial"/>
          <w:b/>
          <w:bCs/>
          <w:color w:val="000000"/>
          <w:shd w:val="clear" w:color="auto" w:fill="FFFFFF"/>
        </w:rPr>
        <w:t> </w:t>
      </w:r>
      <w:bookmarkEnd w:id="18"/>
      <w:r w:rsidRPr="00AF397D">
        <w:rPr>
          <w:rFonts w:ascii="Arial" w:hAnsi="Arial" w:cs="Arial"/>
          <w:b/>
          <w:bCs/>
          <w:color w:val="000000"/>
          <w:shd w:val="clear" w:color="auto" w:fill="FFFFFF"/>
        </w:rPr>
        <w:t>20.</w:t>
      </w:r>
      <w:r w:rsidRPr="00AF397D">
        <w:rPr>
          <w:rStyle w:val="apple-converted-space"/>
          <w:rFonts w:ascii="Arial" w:hAnsi="Arial" w:cs="Arial"/>
          <w:b/>
          <w:bCs/>
          <w:color w:val="000000"/>
          <w:shd w:val="clear" w:color="auto" w:fill="FFFFFF"/>
        </w:rPr>
        <w:t> </w:t>
      </w:r>
      <w:r w:rsidRPr="00AF397D">
        <w:rPr>
          <w:rFonts w:ascii="Arial" w:hAnsi="Arial" w:cs="Arial"/>
          <w:i/>
          <w:iCs/>
          <w:color w:val="000000"/>
          <w:shd w:val="clear" w:color="auto" w:fill="FFFFFF"/>
        </w:rPr>
        <w:t>Vigencia y derogatorias</w:t>
      </w:r>
      <w:r w:rsidRPr="00AF397D">
        <w:rPr>
          <w:rFonts w:ascii="Arial" w:hAnsi="Arial" w:cs="Arial"/>
          <w:color w:val="000000"/>
          <w:shd w:val="clear" w:color="auto" w:fill="FFFFFF"/>
        </w:rPr>
        <w:t>. La presente ley empezará a regir a partir de la fecha de su publicación y deroga las disposiciones que le sean contrarias en especial el Decreto 1336 de 2002. Deroga, asimismo, el artículo</w:t>
      </w:r>
      <w:r w:rsidRPr="00AF397D">
        <w:rPr>
          <w:rStyle w:val="apple-converted-space"/>
          <w:rFonts w:ascii="Arial" w:hAnsi="Arial" w:cs="Arial"/>
          <w:color w:val="000000"/>
          <w:shd w:val="clear" w:color="auto" w:fill="FFFFFF"/>
        </w:rPr>
        <w:t> </w:t>
      </w:r>
      <w:hyperlink r:id="rId29" w:anchor="21" w:history="1">
        <w:r w:rsidRPr="00AF397D">
          <w:rPr>
            <w:rStyle w:val="Hipervnculo"/>
            <w:rFonts w:ascii="Arial" w:hAnsi="Arial" w:cs="Arial"/>
            <w:shd w:val="clear" w:color="auto" w:fill="FFFFFF"/>
          </w:rPr>
          <w:t>21</w:t>
        </w:r>
      </w:hyperlink>
      <w:r w:rsidRPr="00AF397D">
        <w:rPr>
          <w:rStyle w:val="apple-converted-space"/>
          <w:rFonts w:ascii="Arial" w:hAnsi="Arial" w:cs="Arial"/>
          <w:color w:val="000000"/>
          <w:shd w:val="clear" w:color="auto" w:fill="FFFFFF"/>
        </w:rPr>
        <w:t> </w:t>
      </w:r>
      <w:r w:rsidRPr="00AF397D">
        <w:rPr>
          <w:rFonts w:ascii="Arial" w:hAnsi="Arial" w:cs="Arial"/>
          <w:color w:val="000000"/>
          <w:shd w:val="clear" w:color="auto" w:fill="FFFFFF"/>
        </w:rPr>
        <w:t>de la Ley 679 de 2001.</w:t>
      </w:r>
    </w:p>
    <w:p w:rsidR="00AF397D" w:rsidRPr="00AF397D" w:rsidRDefault="00AF397D" w:rsidP="00AF397D">
      <w:pPr>
        <w:pStyle w:val="NormalWeb"/>
        <w:rPr>
          <w:rFonts w:ascii="Arial" w:hAnsi="Arial" w:cs="Arial"/>
          <w:color w:val="000000"/>
          <w:shd w:val="clear" w:color="auto" w:fill="FFFFFF"/>
        </w:rPr>
      </w:pPr>
      <w:r w:rsidRPr="00AF397D">
        <w:rPr>
          <w:rStyle w:val="Textoennegrita"/>
          <w:rFonts w:ascii="Arial" w:hAnsi="Arial" w:cs="Arial"/>
          <w:color w:val="000000"/>
          <w:shd w:val="clear" w:color="auto" w:fill="FFFFFF"/>
        </w:rPr>
        <w:t>Artículo Nuevo.</w:t>
      </w:r>
      <w:r w:rsidRPr="00AF397D">
        <w:rPr>
          <w:rStyle w:val="apple-converted-space"/>
          <w:rFonts w:ascii="Arial" w:hAnsi="Arial" w:cs="Arial"/>
          <w:color w:val="000000"/>
          <w:shd w:val="clear" w:color="auto" w:fill="FFFFFF"/>
        </w:rPr>
        <w:t> </w:t>
      </w:r>
      <w:hyperlink r:id="rId30" w:anchor="41" w:history="1">
        <w:r w:rsidRPr="00AF397D">
          <w:rPr>
            <w:rStyle w:val="Hipervnculo"/>
            <w:rFonts w:ascii="Arial" w:hAnsi="Arial" w:cs="Arial"/>
            <w:shd w:val="clear" w:color="auto" w:fill="FFFFFF"/>
          </w:rPr>
          <w:t>Adicionado por el art. 41, Ley 1450 de 2011</w:t>
        </w:r>
      </w:hyperlink>
    </w:p>
    <w:p w:rsidR="00AF397D" w:rsidRPr="00AF397D" w:rsidRDefault="00AF397D" w:rsidP="00AF397D">
      <w:pPr>
        <w:pStyle w:val="NormalWeb"/>
        <w:jc w:val="center"/>
        <w:rPr>
          <w:rFonts w:ascii="Arial" w:hAnsi="Arial" w:cs="Arial"/>
          <w:b/>
          <w:bCs/>
          <w:color w:val="000000"/>
          <w:shd w:val="clear" w:color="auto" w:fill="FFFFFF"/>
        </w:rPr>
      </w:pPr>
      <w:r w:rsidRPr="00AF397D">
        <w:rPr>
          <w:rFonts w:ascii="Arial" w:hAnsi="Arial" w:cs="Arial"/>
          <w:b/>
          <w:bCs/>
          <w:color w:val="000000"/>
          <w:shd w:val="clear" w:color="auto" w:fill="FFFFFF"/>
        </w:rPr>
        <w:t>La Presidenta del honorable Senado de la República,</w:t>
      </w:r>
    </w:p>
    <w:p w:rsidR="00AF397D" w:rsidRPr="00AF397D" w:rsidRDefault="00AF397D" w:rsidP="00AF397D">
      <w:pPr>
        <w:pStyle w:val="NormalWeb"/>
        <w:jc w:val="center"/>
        <w:rPr>
          <w:rFonts w:ascii="Arial" w:hAnsi="Arial" w:cs="Arial"/>
          <w:b/>
          <w:bCs/>
          <w:color w:val="000000"/>
          <w:shd w:val="clear" w:color="auto" w:fill="FFFFFF"/>
        </w:rPr>
      </w:pPr>
      <w:proofErr w:type="spellStart"/>
      <w:r w:rsidRPr="00AF397D">
        <w:rPr>
          <w:rFonts w:ascii="Arial" w:hAnsi="Arial" w:cs="Arial"/>
          <w:b/>
          <w:bCs/>
          <w:color w:val="000000"/>
          <w:shd w:val="clear" w:color="auto" w:fill="FFFFFF"/>
        </w:rPr>
        <w:t>Dilian</w:t>
      </w:r>
      <w:proofErr w:type="spellEnd"/>
      <w:r w:rsidRPr="00AF397D">
        <w:rPr>
          <w:rFonts w:ascii="Arial" w:hAnsi="Arial" w:cs="Arial"/>
          <w:b/>
          <w:bCs/>
          <w:color w:val="000000"/>
          <w:shd w:val="clear" w:color="auto" w:fill="FFFFFF"/>
        </w:rPr>
        <w:t xml:space="preserve"> Francisca Toro Torres.</w:t>
      </w:r>
    </w:p>
    <w:p w:rsidR="00AF397D" w:rsidRPr="00AF397D" w:rsidRDefault="00AF397D" w:rsidP="00AF397D">
      <w:pPr>
        <w:pStyle w:val="NormalWeb"/>
        <w:jc w:val="center"/>
        <w:rPr>
          <w:rFonts w:ascii="Arial" w:hAnsi="Arial" w:cs="Arial"/>
          <w:b/>
          <w:bCs/>
          <w:color w:val="000000"/>
          <w:shd w:val="clear" w:color="auto" w:fill="FFFFFF"/>
        </w:rPr>
      </w:pPr>
      <w:r w:rsidRPr="00AF397D">
        <w:rPr>
          <w:rFonts w:ascii="Arial" w:hAnsi="Arial" w:cs="Arial"/>
          <w:b/>
          <w:bCs/>
          <w:color w:val="000000"/>
          <w:shd w:val="clear" w:color="auto" w:fill="FFFFFF"/>
        </w:rPr>
        <w:t>El Secretario General del honorable Senado de la República,</w:t>
      </w:r>
    </w:p>
    <w:p w:rsidR="00AF397D" w:rsidRPr="00AF397D" w:rsidRDefault="00AF397D" w:rsidP="00AF397D">
      <w:pPr>
        <w:pStyle w:val="NormalWeb"/>
        <w:jc w:val="center"/>
        <w:rPr>
          <w:rFonts w:ascii="Arial" w:hAnsi="Arial" w:cs="Arial"/>
          <w:b/>
          <w:bCs/>
          <w:color w:val="000000"/>
          <w:shd w:val="clear" w:color="auto" w:fill="FFFFFF"/>
        </w:rPr>
      </w:pPr>
      <w:r w:rsidRPr="00AF397D">
        <w:rPr>
          <w:rFonts w:ascii="Arial" w:hAnsi="Arial" w:cs="Arial"/>
          <w:b/>
          <w:bCs/>
          <w:color w:val="000000"/>
          <w:shd w:val="clear" w:color="auto" w:fill="FFFFFF"/>
        </w:rPr>
        <w:t xml:space="preserve">Emilio Ramón Otero </w:t>
      </w:r>
      <w:proofErr w:type="spellStart"/>
      <w:r w:rsidRPr="00AF397D">
        <w:rPr>
          <w:rFonts w:ascii="Arial" w:hAnsi="Arial" w:cs="Arial"/>
          <w:b/>
          <w:bCs/>
          <w:color w:val="000000"/>
          <w:shd w:val="clear" w:color="auto" w:fill="FFFFFF"/>
        </w:rPr>
        <w:t>Dajud</w:t>
      </w:r>
      <w:proofErr w:type="spellEnd"/>
      <w:r w:rsidRPr="00AF397D">
        <w:rPr>
          <w:rFonts w:ascii="Arial" w:hAnsi="Arial" w:cs="Arial"/>
          <w:b/>
          <w:bCs/>
          <w:color w:val="000000"/>
          <w:shd w:val="clear" w:color="auto" w:fill="FFFFFF"/>
        </w:rPr>
        <w:t>.</w:t>
      </w:r>
    </w:p>
    <w:p w:rsidR="00AF397D" w:rsidRPr="00AF397D" w:rsidRDefault="00AF397D" w:rsidP="00AF397D">
      <w:pPr>
        <w:pStyle w:val="NormalWeb"/>
        <w:jc w:val="center"/>
        <w:rPr>
          <w:rFonts w:ascii="Arial" w:hAnsi="Arial" w:cs="Arial"/>
          <w:b/>
          <w:bCs/>
          <w:color w:val="000000"/>
          <w:shd w:val="clear" w:color="auto" w:fill="FFFFFF"/>
        </w:rPr>
      </w:pPr>
      <w:r w:rsidRPr="00AF397D">
        <w:rPr>
          <w:rFonts w:ascii="Arial" w:hAnsi="Arial" w:cs="Arial"/>
          <w:b/>
          <w:bCs/>
          <w:color w:val="000000"/>
          <w:shd w:val="clear" w:color="auto" w:fill="FFFFFF"/>
        </w:rPr>
        <w:t>El Presidente de la honorable Cámara de Representantes,</w:t>
      </w:r>
    </w:p>
    <w:p w:rsidR="00AF397D" w:rsidRPr="00AF397D" w:rsidRDefault="00AF397D" w:rsidP="00AF397D">
      <w:pPr>
        <w:pStyle w:val="NormalWeb"/>
        <w:jc w:val="center"/>
        <w:rPr>
          <w:rFonts w:ascii="Arial" w:hAnsi="Arial" w:cs="Arial"/>
          <w:b/>
          <w:bCs/>
          <w:color w:val="000000"/>
          <w:shd w:val="clear" w:color="auto" w:fill="FFFFFF"/>
        </w:rPr>
      </w:pPr>
      <w:r w:rsidRPr="00AF397D">
        <w:rPr>
          <w:rFonts w:ascii="Arial" w:hAnsi="Arial" w:cs="Arial"/>
          <w:b/>
          <w:bCs/>
          <w:color w:val="000000"/>
          <w:shd w:val="clear" w:color="auto" w:fill="FFFFFF"/>
        </w:rPr>
        <w:t xml:space="preserve">Alfredo </w:t>
      </w:r>
      <w:proofErr w:type="spellStart"/>
      <w:r w:rsidRPr="00AF397D">
        <w:rPr>
          <w:rFonts w:ascii="Arial" w:hAnsi="Arial" w:cs="Arial"/>
          <w:b/>
          <w:bCs/>
          <w:color w:val="000000"/>
          <w:shd w:val="clear" w:color="auto" w:fill="FFFFFF"/>
        </w:rPr>
        <w:t>Ape</w:t>
      </w:r>
      <w:proofErr w:type="spellEnd"/>
      <w:r w:rsidRPr="00AF397D">
        <w:rPr>
          <w:rFonts w:ascii="Arial" w:hAnsi="Arial" w:cs="Arial"/>
          <w:b/>
          <w:bCs/>
          <w:color w:val="000000"/>
          <w:shd w:val="clear" w:color="auto" w:fill="FFFFFF"/>
        </w:rPr>
        <w:t xml:space="preserve"> Cuello </w:t>
      </w:r>
      <w:proofErr w:type="spellStart"/>
      <w:r w:rsidRPr="00AF397D">
        <w:rPr>
          <w:rFonts w:ascii="Arial" w:hAnsi="Arial" w:cs="Arial"/>
          <w:b/>
          <w:bCs/>
          <w:color w:val="000000"/>
          <w:shd w:val="clear" w:color="auto" w:fill="FFFFFF"/>
        </w:rPr>
        <w:t>Baute</w:t>
      </w:r>
      <w:proofErr w:type="spellEnd"/>
      <w:r w:rsidRPr="00AF397D">
        <w:rPr>
          <w:rFonts w:ascii="Arial" w:hAnsi="Arial" w:cs="Arial"/>
          <w:b/>
          <w:bCs/>
          <w:color w:val="000000"/>
          <w:shd w:val="clear" w:color="auto" w:fill="FFFFFF"/>
        </w:rPr>
        <w:t>.</w:t>
      </w:r>
    </w:p>
    <w:p w:rsidR="00AF397D" w:rsidRPr="00AF397D" w:rsidRDefault="00AF397D" w:rsidP="00AF397D">
      <w:pPr>
        <w:pStyle w:val="NormalWeb"/>
        <w:jc w:val="center"/>
        <w:rPr>
          <w:rFonts w:ascii="Arial" w:hAnsi="Arial" w:cs="Arial"/>
          <w:b/>
          <w:bCs/>
          <w:color w:val="000000"/>
          <w:shd w:val="clear" w:color="auto" w:fill="FFFFFF"/>
        </w:rPr>
      </w:pPr>
      <w:r w:rsidRPr="00AF397D">
        <w:rPr>
          <w:rFonts w:ascii="Arial" w:hAnsi="Arial" w:cs="Arial"/>
          <w:b/>
          <w:bCs/>
          <w:color w:val="000000"/>
          <w:shd w:val="clear" w:color="auto" w:fill="FFFFFF"/>
        </w:rPr>
        <w:t>El Secretario General de la honorable Cámara de Representantes,</w:t>
      </w:r>
    </w:p>
    <w:p w:rsidR="00AF397D" w:rsidRPr="00AF397D" w:rsidRDefault="00AF397D" w:rsidP="00AF397D">
      <w:pPr>
        <w:pStyle w:val="NormalWeb"/>
        <w:jc w:val="center"/>
        <w:rPr>
          <w:rFonts w:ascii="Arial" w:hAnsi="Arial" w:cs="Arial"/>
          <w:b/>
          <w:bCs/>
          <w:color w:val="000000"/>
          <w:shd w:val="clear" w:color="auto" w:fill="FFFFFF"/>
        </w:rPr>
      </w:pPr>
      <w:r w:rsidRPr="00AF397D">
        <w:rPr>
          <w:rFonts w:ascii="Arial" w:hAnsi="Arial" w:cs="Arial"/>
          <w:b/>
          <w:bCs/>
          <w:color w:val="000000"/>
          <w:shd w:val="clear" w:color="auto" w:fill="FFFFFF"/>
        </w:rPr>
        <w:t>Angelino Lizcano Rivera.</w:t>
      </w:r>
    </w:p>
    <w:p w:rsidR="00AF397D" w:rsidRPr="00AF397D" w:rsidRDefault="00AF397D" w:rsidP="00AF397D">
      <w:pPr>
        <w:pStyle w:val="NormalWeb"/>
        <w:jc w:val="center"/>
        <w:rPr>
          <w:rFonts w:ascii="Arial" w:hAnsi="Arial" w:cs="Arial"/>
          <w:b/>
          <w:bCs/>
          <w:color w:val="000000"/>
          <w:shd w:val="clear" w:color="auto" w:fill="FFFFFF"/>
        </w:rPr>
      </w:pPr>
      <w:r w:rsidRPr="00AF397D">
        <w:rPr>
          <w:rFonts w:ascii="Arial" w:hAnsi="Arial" w:cs="Arial"/>
          <w:b/>
          <w:bCs/>
          <w:color w:val="000000"/>
          <w:shd w:val="clear" w:color="auto" w:fill="FFFFFF"/>
        </w:rPr>
        <w:lastRenderedPageBreak/>
        <w:t>REPUBLICA DE COLOMBIA - GOBIERNO NACIONAL</w:t>
      </w:r>
    </w:p>
    <w:p w:rsidR="00AF397D" w:rsidRPr="00AF397D" w:rsidRDefault="00AF397D" w:rsidP="00AF397D">
      <w:pPr>
        <w:pStyle w:val="NormalWeb"/>
        <w:jc w:val="center"/>
        <w:rPr>
          <w:rFonts w:ascii="Arial" w:hAnsi="Arial" w:cs="Arial"/>
          <w:b/>
          <w:bCs/>
          <w:color w:val="000000"/>
          <w:shd w:val="clear" w:color="auto" w:fill="FFFFFF"/>
        </w:rPr>
      </w:pPr>
      <w:r w:rsidRPr="00AF397D">
        <w:rPr>
          <w:rFonts w:ascii="Arial" w:hAnsi="Arial" w:cs="Arial"/>
          <w:b/>
          <w:bCs/>
          <w:color w:val="000000"/>
          <w:shd w:val="clear" w:color="auto" w:fill="FFFFFF"/>
        </w:rPr>
        <w:t>Publíquese y cúmplase.</w:t>
      </w:r>
    </w:p>
    <w:p w:rsidR="00AF397D" w:rsidRPr="00AF397D" w:rsidRDefault="00AF397D" w:rsidP="00AF397D">
      <w:pPr>
        <w:pStyle w:val="NormalWeb"/>
        <w:jc w:val="center"/>
        <w:rPr>
          <w:rFonts w:ascii="Arial" w:hAnsi="Arial" w:cs="Arial"/>
          <w:b/>
          <w:bCs/>
          <w:color w:val="000000"/>
          <w:shd w:val="clear" w:color="auto" w:fill="FFFFFF"/>
        </w:rPr>
      </w:pPr>
      <w:r w:rsidRPr="00AF397D">
        <w:rPr>
          <w:rFonts w:ascii="Arial" w:hAnsi="Arial" w:cs="Arial"/>
          <w:b/>
          <w:bCs/>
          <w:color w:val="000000"/>
          <w:shd w:val="clear" w:color="auto" w:fill="FFFFFF"/>
        </w:rPr>
        <w:t>Dada en Bogotá, D. C., a 22 de noviembre de 2006.</w:t>
      </w:r>
    </w:p>
    <w:p w:rsidR="00AF397D" w:rsidRPr="00AF397D" w:rsidRDefault="00AF397D" w:rsidP="00AF397D">
      <w:pPr>
        <w:pStyle w:val="NormalWeb"/>
        <w:jc w:val="center"/>
        <w:rPr>
          <w:rFonts w:ascii="Arial" w:hAnsi="Arial" w:cs="Arial"/>
          <w:b/>
          <w:bCs/>
          <w:color w:val="000000"/>
          <w:shd w:val="clear" w:color="auto" w:fill="FFFFFF"/>
        </w:rPr>
      </w:pPr>
      <w:r w:rsidRPr="00AF397D">
        <w:rPr>
          <w:rFonts w:ascii="Arial" w:hAnsi="Arial" w:cs="Arial"/>
          <w:b/>
          <w:bCs/>
          <w:color w:val="000000"/>
          <w:shd w:val="clear" w:color="auto" w:fill="FFFFFF"/>
        </w:rPr>
        <w:t>ÁLVARO URIBE VÉLEZ</w:t>
      </w:r>
    </w:p>
    <w:p w:rsidR="00AF397D" w:rsidRPr="00AF397D" w:rsidRDefault="00AF397D" w:rsidP="00AF397D">
      <w:pPr>
        <w:pStyle w:val="NormalWeb"/>
        <w:jc w:val="center"/>
        <w:rPr>
          <w:rFonts w:ascii="Arial" w:hAnsi="Arial" w:cs="Arial"/>
          <w:b/>
          <w:bCs/>
          <w:color w:val="000000"/>
          <w:shd w:val="clear" w:color="auto" w:fill="FFFFFF"/>
        </w:rPr>
      </w:pPr>
      <w:r w:rsidRPr="00AF397D">
        <w:rPr>
          <w:rFonts w:ascii="Arial" w:hAnsi="Arial" w:cs="Arial"/>
          <w:b/>
          <w:bCs/>
          <w:color w:val="000000"/>
          <w:shd w:val="clear" w:color="auto" w:fill="FFFFFF"/>
        </w:rPr>
        <w:t>El Viceministro de Desarrollo Empresarial del Ministerio de Comercio, Industria y Turismo, encargado de las funciones del Despacho del Ministro de Comercio, Industria y Turismo,</w:t>
      </w:r>
    </w:p>
    <w:p w:rsidR="00AF397D" w:rsidRPr="00AF397D" w:rsidRDefault="00AF397D" w:rsidP="00AF397D">
      <w:pPr>
        <w:pStyle w:val="NormalWeb"/>
        <w:jc w:val="center"/>
        <w:rPr>
          <w:rFonts w:ascii="Arial" w:hAnsi="Arial" w:cs="Arial"/>
          <w:b/>
          <w:bCs/>
          <w:color w:val="000000"/>
          <w:shd w:val="clear" w:color="auto" w:fill="FFFFFF"/>
        </w:rPr>
      </w:pPr>
      <w:r w:rsidRPr="00AF397D">
        <w:rPr>
          <w:rFonts w:ascii="Arial" w:hAnsi="Arial" w:cs="Arial"/>
          <w:b/>
          <w:bCs/>
          <w:color w:val="000000"/>
          <w:shd w:val="clear" w:color="auto" w:fill="FFFFFF"/>
        </w:rPr>
        <w:t xml:space="preserve">Sergio </w:t>
      </w:r>
      <w:proofErr w:type="spellStart"/>
      <w:r w:rsidRPr="00AF397D">
        <w:rPr>
          <w:rFonts w:ascii="Arial" w:hAnsi="Arial" w:cs="Arial"/>
          <w:b/>
          <w:bCs/>
          <w:color w:val="000000"/>
          <w:shd w:val="clear" w:color="auto" w:fill="FFFFFF"/>
        </w:rPr>
        <w:t>Diazgranados</w:t>
      </w:r>
      <w:proofErr w:type="spellEnd"/>
      <w:r w:rsidRPr="00AF397D">
        <w:rPr>
          <w:rFonts w:ascii="Arial" w:hAnsi="Arial" w:cs="Arial"/>
          <w:b/>
          <w:bCs/>
          <w:color w:val="000000"/>
          <w:shd w:val="clear" w:color="auto" w:fill="FFFFFF"/>
        </w:rPr>
        <w:t xml:space="preserve"> Guida.</w:t>
      </w:r>
    </w:p>
    <w:p w:rsidR="00AF397D" w:rsidRPr="00AF397D" w:rsidRDefault="00AF397D" w:rsidP="00AF397D">
      <w:pPr>
        <w:pStyle w:val="NormalWeb"/>
        <w:rPr>
          <w:rFonts w:ascii="Arial" w:hAnsi="Arial" w:cs="Arial"/>
          <w:b/>
          <w:bCs/>
          <w:color w:val="000000"/>
          <w:shd w:val="clear" w:color="auto" w:fill="FFFFFF"/>
        </w:rPr>
      </w:pPr>
      <w:r w:rsidRPr="00AF397D">
        <w:rPr>
          <w:rFonts w:ascii="Arial" w:hAnsi="Arial" w:cs="Arial"/>
          <w:b/>
          <w:bCs/>
          <w:color w:val="000000"/>
          <w:shd w:val="clear" w:color="auto" w:fill="FFFFFF"/>
        </w:rPr>
        <w:t>NOTA: Publicada en el Diario Oficial 46461 de noviembre 23 de 2006.</w:t>
      </w:r>
    </w:p>
    <w:p w:rsidR="00D10F1E" w:rsidRPr="00AF397D" w:rsidRDefault="00D10F1E">
      <w:pPr>
        <w:rPr>
          <w:sz w:val="24"/>
          <w:szCs w:val="24"/>
        </w:rPr>
      </w:pPr>
    </w:p>
    <w:sectPr w:rsidR="00D10F1E" w:rsidRPr="00AF397D" w:rsidSect="00D10F1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AF397D"/>
    <w:rsid w:val="00AF397D"/>
    <w:rsid w:val="00D10F1E"/>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F1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F397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F397D"/>
    <w:rPr>
      <w:b/>
      <w:bCs/>
    </w:rPr>
  </w:style>
  <w:style w:type="character" w:styleId="Hipervnculo">
    <w:name w:val="Hyperlink"/>
    <w:basedOn w:val="Fuentedeprrafopredeter"/>
    <w:uiPriority w:val="99"/>
    <w:semiHidden/>
    <w:unhideWhenUsed/>
    <w:rsid w:val="00AF397D"/>
    <w:rPr>
      <w:color w:val="0000FF"/>
      <w:u w:val="single"/>
    </w:rPr>
  </w:style>
  <w:style w:type="character" w:customStyle="1" w:styleId="apple-converted-space">
    <w:name w:val="apple-converted-space"/>
    <w:basedOn w:val="Fuentedeprrafopredeter"/>
    <w:rsid w:val="00AF397D"/>
  </w:style>
</w:styles>
</file>

<file path=word/webSettings.xml><?xml version="1.0" encoding="utf-8"?>
<w:webSettings xmlns:r="http://schemas.openxmlformats.org/officeDocument/2006/relationships" xmlns:w="http://schemas.openxmlformats.org/wordprocessingml/2006/main">
  <w:divs>
    <w:div w:id="77833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caldiabogota.gov.co/sisjur/normas/Norma1.jsp?i=27981" TargetMode="External"/><Relationship Id="rId13" Type="http://schemas.openxmlformats.org/officeDocument/2006/relationships/hyperlink" Target="http://www.alcaldiabogota.gov.co/sisjur/normas/Norma1.jsp?i=23302" TargetMode="External"/><Relationship Id="rId18" Type="http://schemas.openxmlformats.org/officeDocument/2006/relationships/hyperlink" Target="http://www.alcaldiabogota.gov.co/sisjur/normas/Norma1.jsp?i=48321" TargetMode="External"/><Relationship Id="rId26" Type="http://schemas.openxmlformats.org/officeDocument/2006/relationships/hyperlink" Target="http://www.alcaldiabogota.gov.co/sisjur/normas/Norma1.jsp?i=48321" TargetMode="External"/><Relationship Id="rId3" Type="http://schemas.openxmlformats.org/officeDocument/2006/relationships/webSettings" Target="webSettings.xml"/><Relationship Id="rId21" Type="http://schemas.openxmlformats.org/officeDocument/2006/relationships/hyperlink" Target="http://www.alcaldiabogota.gov.co/sisjur/normas/Norma1.jsp?i=8634" TargetMode="External"/><Relationship Id="rId7" Type="http://schemas.openxmlformats.org/officeDocument/2006/relationships/hyperlink" Target="http://www.alcaldiabogota.gov.co/sisjur/normas/Norma1.jsp?i=8634" TargetMode="External"/><Relationship Id="rId12" Type="http://schemas.openxmlformats.org/officeDocument/2006/relationships/hyperlink" Target="http://www.alcaldiabogota.gov.co/sisjur/normas/Norma1.jsp?i=48321" TargetMode="External"/><Relationship Id="rId17" Type="http://schemas.openxmlformats.org/officeDocument/2006/relationships/hyperlink" Target="http://www.alcaldiabogota.gov.co/sisjur/normas/Norma1.jsp?i=8634" TargetMode="External"/><Relationship Id="rId25" Type="http://schemas.openxmlformats.org/officeDocument/2006/relationships/hyperlink" Target="http://www.alcaldiabogota.gov.co/sisjur/normas/Norma1.jsp?i=48321" TargetMode="External"/><Relationship Id="rId2" Type="http://schemas.openxmlformats.org/officeDocument/2006/relationships/settings" Target="settings.xml"/><Relationship Id="rId16" Type="http://schemas.openxmlformats.org/officeDocument/2006/relationships/hyperlink" Target="http://www.alcaldiabogota.gov.co/sisjur/normas/Norma1.jsp?i=8634" TargetMode="External"/><Relationship Id="rId20" Type="http://schemas.openxmlformats.org/officeDocument/2006/relationships/hyperlink" Target="http://www.alcaldiabogota.gov.co/sisjur/normas/Norma1.jsp?i=8634" TargetMode="External"/><Relationship Id="rId29" Type="http://schemas.openxmlformats.org/officeDocument/2006/relationships/hyperlink" Target="http://www.alcaldiabogota.gov.co/sisjur/normas/Norma1.jsp?i=18309" TargetMode="External"/><Relationship Id="rId1" Type="http://schemas.openxmlformats.org/officeDocument/2006/relationships/styles" Target="styles.xml"/><Relationship Id="rId6" Type="http://schemas.openxmlformats.org/officeDocument/2006/relationships/hyperlink" Target="http://www.alcaldiabogota.gov.co/sisjur/normas/Norma1.jsp?i=27981" TargetMode="External"/><Relationship Id="rId11" Type="http://schemas.openxmlformats.org/officeDocument/2006/relationships/hyperlink" Target="http://www.alcaldiabogota.gov.co/sisjur/normas/Norma1.jsp?i=27981" TargetMode="External"/><Relationship Id="rId24" Type="http://schemas.openxmlformats.org/officeDocument/2006/relationships/hyperlink" Target="http://www.alcaldiabogota.gov.co/sisjur/normas/Norma1.jsp?i=48321" TargetMode="External"/><Relationship Id="rId32" Type="http://schemas.openxmlformats.org/officeDocument/2006/relationships/theme" Target="theme/theme1.xml"/><Relationship Id="rId5" Type="http://schemas.openxmlformats.org/officeDocument/2006/relationships/hyperlink" Target="http://www.alcaldiabogota.gov.co/sisjur/normas/Norma1.jsp?i=8634" TargetMode="External"/><Relationship Id="rId15" Type="http://schemas.openxmlformats.org/officeDocument/2006/relationships/hyperlink" Target="http://www.alcaldiabogota.gov.co/sisjur/normas/Norma1.jsp?i=8634" TargetMode="External"/><Relationship Id="rId23" Type="http://schemas.openxmlformats.org/officeDocument/2006/relationships/hyperlink" Target="http://www.alcaldiabogota.gov.co/sisjur/normas/Norma1.jsp?i=48321" TargetMode="External"/><Relationship Id="rId28" Type="http://schemas.openxmlformats.org/officeDocument/2006/relationships/hyperlink" Target="http://www.alcaldiabogota.gov.co/sisjur/normas/Norma1.jsp?i=25012" TargetMode="External"/><Relationship Id="rId10" Type="http://schemas.openxmlformats.org/officeDocument/2006/relationships/hyperlink" Target="http://www.alcaldiabogota.gov.co/sisjur/normas/Norma1.jsp?i=22766" TargetMode="External"/><Relationship Id="rId19" Type="http://schemas.openxmlformats.org/officeDocument/2006/relationships/hyperlink" Target="http://www.alcaldiabogota.gov.co/sisjur/normas/Norma1.jsp?i=48321" TargetMode="External"/><Relationship Id="rId31" Type="http://schemas.openxmlformats.org/officeDocument/2006/relationships/fontTable" Target="fontTable.xml"/><Relationship Id="rId4" Type="http://schemas.openxmlformats.org/officeDocument/2006/relationships/hyperlink" Target="http://www.alcaldiabogota.gov.co/sisjur/normas/Norma1.jsp?i=36779" TargetMode="External"/><Relationship Id="rId9" Type="http://schemas.openxmlformats.org/officeDocument/2006/relationships/hyperlink" Target="http://www.alcaldiabogota.gov.co/sisjur/normas/Norma1.jsp?i=8634" TargetMode="External"/><Relationship Id="rId14" Type="http://schemas.openxmlformats.org/officeDocument/2006/relationships/hyperlink" Target="http://www.alcaldiabogota.gov.co/sisjur/normas/Norma1.jsp?i=25012" TargetMode="External"/><Relationship Id="rId22" Type="http://schemas.openxmlformats.org/officeDocument/2006/relationships/hyperlink" Target="http://www.alcaldiabogota.gov.co/sisjur/normas/Norma1.jsp?i=8634" TargetMode="External"/><Relationship Id="rId27" Type="http://schemas.openxmlformats.org/officeDocument/2006/relationships/hyperlink" Target="http://www.alcaldiabogota.gov.co/sisjur/normas/Norma1.jsp?i=34847" TargetMode="External"/><Relationship Id="rId30" Type="http://schemas.openxmlformats.org/officeDocument/2006/relationships/hyperlink" Target="http://www.alcaldiabogota.gov.co/sisjur/normas/Norma1.jsp?i=4310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4259</Words>
  <Characters>23430</Characters>
  <Application>Microsoft Office Word</Application>
  <DocSecurity>0</DocSecurity>
  <Lines>195</Lines>
  <Paragraphs>55</Paragraphs>
  <ScaleCrop>false</ScaleCrop>
  <Company>Cámara de Comercio de Medellín</Company>
  <LinksUpToDate>false</LinksUpToDate>
  <CharactersWithSpaces>27634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jgoezs</dc:creator>
  <cp:keywords/>
  <dc:description/>
  <cp:lastModifiedBy>jgoezs</cp:lastModifiedBy>
  <cp:revision>1</cp:revision>
  <dcterms:created xsi:type="dcterms:W3CDTF">2014-02-21T16:24:00Z</dcterms:created>
  <dcterms:modified xsi:type="dcterms:W3CDTF">2014-02-21T16:25:00Z</dcterms:modified>
</cp:coreProperties>
</file>